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bookmarkStart w:id="0" w:name="_GoBack"/>
      <w:bookmarkEnd w:id="0"/>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6378139A"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lastRenderedPageBreak/>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 xml:space="preserve">Projektu, v případě, že je u projektu vyžadována, dodržovat právní předpisy ČR a EU a politiky EU, zejména pak pravidla </w:t>
      </w:r>
      <w:r w:rsidRPr="00E338A1">
        <w:lastRenderedPageBreak/>
        <w:t>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w:t>
      </w:r>
      <w:r w:rsidRPr="00465B3C">
        <w:lastRenderedPageBreak/>
        <w:t>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t>Příjemce poskytne první zálohu:</w:t>
      </w:r>
    </w:p>
    <w:p w14:paraId="4D2C0F6D" w14:textId="77777777" w:rsidR="008344F8" w:rsidRPr="00E338A1" w:rsidRDefault="008344F8" w:rsidP="00422568">
      <w:pPr>
        <w:ind w:left="708"/>
      </w:pPr>
      <w:r w:rsidRPr="00E338A1">
        <w:lastRenderedPageBreak/>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V případě, že Partnerovi není poskytnuta záloha: Partner je povinen uhradit způsobilé výdaje projektu vzniklé v souvislosti s realizací činností uvedených v čl. III. této 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lastRenderedPageBreak/>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FD18" w14:textId="77777777" w:rsidR="005B0DEA" w:rsidRDefault="005B0DEA" w:rsidP="003E5669">
      <w:pPr>
        <w:spacing w:after="0" w:line="240" w:lineRule="auto"/>
      </w:pPr>
      <w:r>
        <w:separator/>
      </w:r>
    </w:p>
  </w:endnote>
  <w:endnote w:type="continuationSeparator" w:id="0">
    <w:p w14:paraId="639B9B5A" w14:textId="77777777" w:rsidR="005B0DEA" w:rsidRDefault="005B0DE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AD69E6">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804B" w14:textId="77777777" w:rsidR="005B0DEA" w:rsidRDefault="005B0DEA" w:rsidP="003E5669">
      <w:pPr>
        <w:spacing w:after="0" w:line="240" w:lineRule="auto"/>
      </w:pPr>
      <w:r>
        <w:separator/>
      </w:r>
    </w:p>
  </w:footnote>
  <w:footnote w:type="continuationSeparator" w:id="0">
    <w:p w14:paraId="1534A6E0" w14:textId="77777777" w:rsidR="005B0DEA" w:rsidRDefault="005B0DE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0DE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D69E6"/>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17C5FDDC-6A79-4F95-BDAF-D45F06EA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16680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Janoušek Petr</cp:lastModifiedBy>
  <cp:revision>2</cp:revision>
  <cp:lastPrinted>2016-01-13T14:27:00Z</cp:lastPrinted>
  <dcterms:created xsi:type="dcterms:W3CDTF">2018-04-13T11:42:00Z</dcterms:created>
  <dcterms:modified xsi:type="dcterms:W3CDTF">2018-04-13T11:42:00Z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