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2A77E" w14:textId="6F6230AA" w:rsidR="00583D14" w:rsidRPr="00583D14" w:rsidRDefault="003879C6" w:rsidP="00EE5C7F">
      <w:pPr>
        <w:pStyle w:val="Nadpis1"/>
        <w:numPr>
          <w:ilvl w:val="3"/>
          <w:numId w:val="0"/>
        </w:numPr>
        <w:rPr>
          <w:rFonts w:ascii="Times New Roman" w:eastAsia="Times New Roman" w:hAnsi="Times New Roman" w:cs="Times New Roman"/>
          <w:color w:val="auto"/>
          <w:lang w:eastAsia="cs-CZ"/>
        </w:rPr>
      </w:pPr>
      <w:bookmarkStart w:id="0" w:name="_Toc472348534"/>
      <w:r w:rsidRPr="00583D14">
        <w:rPr>
          <w:rFonts w:eastAsia="Times New Roman"/>
        </w:rPr>
        <w:t>Soulad s RIS3</w:t>
      </w:r>
      <w:r w:rsidR="006A2351">
        <w:rPr>
          <w:rFonts w:eastAsia="Times New Roman"/>
        </w:rPr>
        <w:t xml:space="preserve"> strategií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EB16E8" w:rsidRPr="00C44F6D" w14:paraId="0C5B7514" w14:textId="77777777" w:rsidTr="009A0F39">
        <w:trPr>
          <w:trHeight w:val="425"/>
        </w:trPr>
        <w:tc>
          <w:tcPr>
            <w:tcW w:w="1872" w:type="dxa"/>
            <w:shd w:val="clear" w:color="auto" w:fill="auto"/>
          </w:tcPr>
          <w:p w14:paraId="1854CC67" w14:textId="22D7E184" w:rsidR="00EB16E8" w:rsidRPr="00884B3A" w:rsidRDefault="00EB16E8" w:rsidP="009A0F39">
            <w:pPr>
              <w:rPr>
                <w:rFonts w:cs="Arial"/>
                <w:b/>
              </w:rPr>
            </w:pPr>
            <w:r w:rsidRPr="00884B3A">
              <w:rPr>
                <w:rFonts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8324A5D" w14:textId="77777777" w:rsidR="00EB16E8" w:rsidRPr="00884B3A" w:rsidRDefault="00EB16E8" w:rsidP="009A0F39">
            <w:pPr>
              <w:rPr>
                <w:rFonts w:cs="Arial"/>
              </w:rPr>
            </w:pPr>
          </w:p>
        </w:tc>
      </w:tr>
      <w:tr w:rsidR="00EB16E8" w:rsidRPr="00C44F6D" w14:paraId="45E8821C" w14:textId="77777777" w:rsidTr="009A0F39">
        <w:tc>
          <w:tcPr>
            <w:tcW w:w="1872" w:type="dxa"/>
            <w:shd w:val="clear" w:color="auto" w:fill="auto"/>
          </w:tcPr>
          <w:p w14:paraId="2BA748F3" w14:textId="77777777" w:rsidR="00EB16E8" w:rsidRPr="00884B3A" w:rsidRDefault="00EB16E8" w:rsidP="009A0F39">
            <w:pPr>
              <w:rPr>
                <w:rFonts w:cs="Arial"/>
                <w:b/>
              </w:rPr>
            </w:pPr>
            <w:r w:rsidRPr="00884B3A">
              <w:rPr>
                <w:rFonts w:cs="Arial"/>
                <w:b/>
              </w:rPr>
              <w:t>Název žadatele</w:t>
            </w:r>
          </w:p>
        </w:tc>
        <w:tc>
          <w:tcPr>
            <w:tcW w:w="7200" w:type="dxa"/>
            <w:shd w:val="clear" w:color="auto" w:fill="auto"/>
          </w:tcPr>
          <w:p w14:paraId="4BA64D18" w14:textId="77777777" w:rsidR="00EB16E8" w:rsidRPr="00884B3A" w:rsidRDefault="00EB16E8" w:rsidP="009A0F39">
            <w:pPr>
              <w:rPr>
                <w:rFonts w:cs="Arial"/>
              </w:rPr>
            </w:pPr>
          </w:p>
        </w:tc>
      </w:tr>
    </w:tbl>
    <w:p w14:paraId="1688F0EF" w14:textId="03565A6E" w:rsidR="00EB16E8" w:rsidRDefault="00EB16E8" w:rsidP="00583D14">
      <w:pPr>
        <w:pStyle w:val="Styl2"/>
      </w:pPr>
    </w:p>
    <w:p w14:paraId="4AEF4CBC" w14:textId="24CF831B" w:rsidR="003879C6" w:rsidRPr="00583D14" w:rsidRDefault="00583D14" w:rsidP="00583D14">
      <w:pPr>
        <w:pStyle w:val="Styl2"/>
      </w:pPr>
      <w:r>
        <w:t>I</w:t>
      </w:r>
      <w:r w:rsidRPr="00583D14">
        <w:t>nstrukce pro žadatele</w:t>
      </w:r>
    </w:p>
    <w:p w14:paraId="595F9C84" w14:textId="00CF830D" w:rsidR="003879C6" w:rsidRPr="00B721E8" w:rsidRDefault="003879C6" w:rsidP="008F55D1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 xml:space="preserve">Tato příloha slouží žadateli pro účely </w:t>
      </w:r>
      <w:r w:rsidR="007A3AC8">
        <w:rPr>
          <w:sz w:val="22"/>
          <w:szCs w:val="22"/>
        </w:rPr>
        <w:t>identifikace</w:t>
      </w:r>
      <w:r w:rsidR="007A3AC8" w:rsidRPr="00B721E8">
        <w:rPr>
          <w:sz w:val="22"/>
          <w:szCs w:val="22"/>
        </w:rPr>
        <w:t xml:space="preserve"> </w:t>
      </w:r>
      <w:r w:rsidRPr="00B721E8">
        <w:rPr>
          <w:sz w:val="22"/>
          <w:szCs w:val="22"/>
        </w:rPr>
        <w:t xml:space="preserve">souladu předkládaného projektu s Národní </w:t>
      </w:r>
      <w:r>
        <w:rPr>
          <w:sz w:val="22"/>
          <w:szCs w:val="22"/>
        </w:rPr>
        <w:t xml:space="preserve">výzkumnou a inovační strategií pro inteligentní specializaci České republiky (dále jen „Národní </w:t>
      </w:r>
      <w:r w:rsidRPr="00B721E8">
        <w:rPr>
          <w:sz w:val="22"/>
          <w:szCs w:val="22"/>
        </w:rPr>
        <w:t>RIS3 strategi</w:t>
      </w:r>
      <w:r>
        <w:rPr>
          <w:sz w:val="22"/>
          <w:szCs w:val="22"/>
        </w:rPr>
        <w:t>e“)</w:t>
      </w:r>
      <w:r w:rsidRPr="00B721E8">
        <w:rPr>
          <w:sz w:val="22"/>
          <w:szCs w:val="22"/>
        </w:rPr>
        <w:t xml:space="preserve"> a/nebo její příslušnou krajskou přílohou, přičemž příslušným krajem je myšlen kraj relevantní vzhledem k místu realizace</w:t>
      </w:r>
      <w:r w:rsidR="0059279B">
        <w:rPr>
          <w:sz w:val="22"/>
          <w:szCs w:val="22"/>
        </w:rPr>
        <w:t>/dopadu</w:t>
      </w:r>
      <w:r w:rsidRPr="00B721E8">
        <w:rPr>
          <w:sz w:val="22"/>
          <w:szCs w:val="22"/>
        </w:rPr>
        <w:t xml:space="preserve"> projektu. </w:t>
      </w:r>
    </w:p>
    <w:p w14:paraId="44045416" w14:textId="7B4CC05A" w:rsidR="003879C6" w:rsidRPr="00B721E8" w:rsidRDefault="003879C6" w:rsidP="008F55D1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>Projekt je svým zaměřením v souladu s</w:t>
      </w:r>
      <w:r w:rsidR="00257316">
        <w:rPr>
          <w:sz w:val="22"/>
          <w:szCs w:val="22"/>
        </w:rPr>
        <w:t> RIS3, pokud se mobility realizované prostřednictvím tohoto projektu pohybují ve VaVaI oblastech, které jsou v souladu s:</w:t>
      </w:r>
    </w:p>
    <w:p w14:paraId="751AAB8D" w14:textId="3FE43277" w:rsidR="003879C6" w:rsidRPr="00B721E8" w:rsidRDefault="003879C6" w:rsidP="008F55D1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B721E8">
        <w:rPr>
          <w:b/>
          <w:sz w:val="22"/>
          <w:szCs w:val="22"/>
        </w:rPr>
        <w:t xml:space="preserve">alespoň </w:t>
      </w:r>
      <w:r w:rsidR="00257316">
        <w:rPr>
          <w:b/>
          <w:sz w:val="22"/>
          <w:szCs w:val="22"/>
        </w:rPr>
        <w:t>jedním z klíčových</w:t>
      </w:r>
      <w:r w:rsidRPr="00B721E8">
        <w:rPr>
          <w:b/>
          <w:sz w:val="22"/>
          <w:szCs w:val="22"/>
        </w:rPr>
        <w:t xml:space="preserve"> </w:t>
      </w:r>
      <w:r w:rsidR="00257316">
        <w:rPr>
          <w:b/>
          <w:sz w:val="22"/>
          <w:szCs w:val="22"/>
        </w:rPr>
        <w:t>aplikačních odvětví/</w:t>
      </w:r>
      <w:r w:rsidRPr="00B721E8">
        <w:rPr>
          <w:b/>
          <w:sz w:val="22"/>
          <w:szCs w:val="22"/>
        </w:rPr>
        <w:t>témat</w:t>
      </w:r>
      <w:r w:rsidR="00257316">
        <w:rPr>
          <w:sz w:val="22"/>
          <w:szCs w:val="22"/>
        </w:rPr>
        <w:t xml:space="preserve">. </w:t>
      </w:r>
      <w:r w:rsidRPr="00B721E8">
        <w:rPr>
          <w:sz w:val="22"/>
          <w:szCs w:val="22"/>
        </w:rPr>
        <w:t xml:space="preserve">Tato </w:t>
      </w:r>
      <w:r w:rsidR="00257316">
        <w:rPr>
          <w:sz w:val="22"/>
          <w:szCs w:val="22"/>
        </w:rPr>
        <w:t>aplikační odvětví/</w:t>
      </w:r>
      <w:r w:rsidRPr="00B721E8">
        <w:rPr>
          <w:sz w:val="22"/>
          <w:szCs w:val="22"/>
        </w:rPr>
        <w:t xml:space="preserve">témata jsou </w:t>
      </w:r>
      <w:r w:rsidR="00257316">
        <w:rPr>
          <w:sz w:val="22"/>
          <w:szCs w:val="22"/>
        </w:rPr>
        <w:t xml:space="preserve">blíže </w:t>
      </w:r>
      <w:r w:rsidRPr="00B721E8">
        <w:rPr>
          <w:sz w:val="22"/>
          <w:szCs w:val="22"/>
        </w:rPr>
        <w:t>popsána v j</w:t>
      </w:r>
      <w:r>
        <w:rPr>
          <w:sz w:val="22"/>
          <w:szCs w:val="22"/>
        </w:rPr>
        <w:t xml:space="preserve">ednotlivých kapitolách 2.1.1 </w:t>
      </w:r>
      <w:r w:rsidRPr="00B721E8">
        <w:rPr>
          <w:sz w:val="22"/>
          <w:szCs w:val="22"/>
        </w:rPr>
        <w:t>-</w:t>
      </w:r>
      <w:r>
        <w:rPr>
          <w:sz w:val="22"/>
          <w:szCs w:val="22"/>
        </w:rPr>
        <w:t xml:space="preserve"> 2.8.5</w:t>
      </w:r>
      <w:r w:rsidRPr="00B721E8">
        <w:rPr>
          <w:sz w:val="22"/>
          <w:szCs w:val="22"/>
        </w:rPr>
        <w:t xml:space="preserve"> </w:t>
      </w:r>
      <w:r w:rsidR="00257316">
        <w:rPr>
          <w:sz w:val="22"/>
          <w:szCs w:val="22"/>
        </w:rPr>
        <w:t xml:space="preserve">Podkladového materiálu </w:t>
      </w:r>
      <w:r w:rsidR="007202A6">
        <w:rPr>
          <w:sz w:val="22"/>
          <w:szCs w:val="22"/>
        </w:rPr>
        <w:t>pro</w:t>
      </w:r>
      <w:r w:rsidR="00257316">
        <w:rPr>
          <w:sz w:val="22"/>
          <w:szCs w:val="22"/>
        </w:rPr>
        <w:t> implementaci Národní RIS3 strategie</w:t>
      </w:r>
      <w:r w:rsidRPr="00B721E8">
        <w:rPr>
          <w:sz w:val="22"/>
          <w:szCs w:val="22"/>
        </w:rPr>
        <w:t xml:space="preserve"> </w:t>
      </w:r>
      <w:r w:rsidR="007F3D3F">
        <w:rPr>
          <w:sz w:val="22"/>
          <w:szCs w:val="22"/>
        </w:rPr>
        <w:t xml:space="preserve">(dále jen „Podkladový materiál“) </w:t>
      </w:r>
      <w:r w:rsidRPr="00B721E8">
        <w:rPr>
          <w:sz w:val="22"/>
          <w:szCs w:val="22"/>
        </w:rPr>
        <w:t>- v tabulkové kartě v pasáži „Popis potřeb a jejich řešení“</w:t>
      </w:r>
      <w:r w:rsidR="00E34FE0">
        <w:rPr>
          <w:sz w:val="22"/>
          <w:szCs w:val="22"/>
        </w:rPr>
        <w:t>, popř.</w:t>
      </w:r>
      <w:r w:rsidRPr="00B721E8">
        <w:rPr>
          <w:sz w:val="22"/>
          <w:szCs w:val="22"/>
        </w:rPr>
        <w:t xml:space="preserve"> v podkladové příloze</w:t>
      </w:r>
      <w:r w:rsidR="00836B58">
        <w:rPr>
          <w:sz w:val="22"/>
          <w:szCs w:val="22"/>
        </w:rPr>
        <w:t xml:space="preserve"> (subkapitole)</w:t>
      </w:r>
      <w:r w:rsidRPr="00B721E8">
        <w:rPr>
          <w:sz w:val="22"/>
          <w:szCs w:val="22"/>
        </w:rPr>
        <w:t xml:space="preserve"> jednotlivých kapitol</w:t>
      </w:r>
      <w:r w:rsidR="00EE5C7F">
        <w:rPr>
          <w:sz w:val="22"/>
          <w:szCs w:val="22"/>
        </w:rPr>
        <w:t xml:space="preserve"> Podkladového materiálu</w:t>
      </w:r>
      <w:r w:rsidRPr="00B721E8">
        <w:rPr>
          <w:sz w:val="22"/>
          <w:szCs w:val="22"/>
        </w:rPr>
        <w:t>, kde jsou případně některá témata popsána více dopodrobna</w:t>
      </w:r>
      <w:r w:rsidR="00836B58">
        <w:rPr>
          <w:rStyle w:val="Znakapoznpodarou"/>
          <w:sz w:val="22"/>
          <w:szCs w:val="22"/>
        </w:rPr>
        <w:footnoteReference w:id="1"/>
      </w:r>
      <w:r w:rsidRPr="00B721E8">
        <w:rPr>
          <w:sz w:val="22"/>
          <w:szCs w:val="22"/>
        </w:rPr>
        <w:t xml:space="preserve">. </w:t>
      </w:r>
      <w:r w:rsidR="00277944">
        <w:rPr>
          <w:sz w:val="22"/>
          <w:szCs w:val="22"/>
        </w:rPr>
        <w:t xml:space="preserve">Schematicky jsou klíčová aplikační odvětví/témata zpřehledněna </w:t>
      </w:r>
      <w:r w:rsidR="00277944" w:rsidRPr="00FA0AA7">
        <w:rPr>
          <w:sz w:val="22"/>
          <w:szCs w:val="22"/>
        </w:rPr>
        <w:t xml:space="preserve">ve Vertikalizační matici </w:t>
      </w:r>
      <w:r w:rsidR="00B028E7" w:rsidRPr="00FA0AA7">
        <w:rPr>
          <w:sz w:val="22"/>
          <w:szCs w:val="22"/>
        </w:rPr>
        <w:t>(</w:t>
      </w:r>
      <w:r w:rsidR="00B028E7">
        <w:rPr>
          <w:sz w:val="22"/>
          <w:szCs w:val="22"/>
        </w:rPr>
        <w:t xml:space="preserve">viz níže) </w:t>
      </w:r>
      <w:r w:rsidR="00277944">
        <w:rPr>
          <w:sz w:val="22"/>
          <w:szCs w:val="22"/>
        </w:rPr>
        <w:t xml:space="preserve">jako </w:t>
      </w:r>
      <w:r w:rsidR="00B028E7" w:rsidRPr="00B028E7">
        <w:rPr>
          <w:b/>
          <w:sz w:val="22"/>
          <w:szCs w:val="22"/>
        </w:rPr>
        <w:t>sloupce</w:t>
      </w:r>
      <w:r w:rsidR="00B028E7">
        <w:rPr>
          <w:sz w:val="22"/>
          <w:szCs w:val="22"/>
        </w:rPr>
        <w:t xml:space="preserve"> této matice</w:t>
      </w:r>
      <w:r w:rsidR="00277944">
        <w:rPr>
          <w:sz w:val="22"/>
          <w:szCs w:val="22"/>
        </w:rPr>
        <w:t>.</w:t>
      </w:r>
    </w:p>
    <w:p w14:paraId="1B343F14" w14:textId="77777777" w:rsidR="003879C6" w:rsidRPr="00B721E8" w:rsidRDefault="00257316" w:rsidP="008F55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nebo</w:t>
      </w:r>
    </w:p>
    <w:p w14:paraId="3E64A9AC" w14:textId="4F36CFCE" w:rsidR="003879C6" w:rsidRPr="00B721E8" w:rsidRDefault="003879C6" w:rsidP="008F55D1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B721E8">
        <w:rPr>
          <w:b/>
          <w:sz w:val="22"/>
          <w:szCs w:val="22"/>
        </w:rPr>
        <w:t xml:space="preserve">alespoň jednou </w:t>
      </w:r>
      <w:r w:rsidR="00257316">
        <w:rPr>
          <w:b/>
          <w:sz w:val="22"/>
          <w:szCs w:val="22"/>
        </w:rPr>
        <w:t xml:space="preserve">z generických znalostních domén. </w:t>
      </w:r>
      <w:r w:rsidR="00257316" w:rsidRPr="005F5F9F">
        <w:rPr>
          <w:sz w:val="22"/>
          <w:szCs w:val="22"/>
        </w:rPr>
        <w:t>Generické znalostní domény jsou blíže popsány v</w:t>
      </w:r>
      <w:r w:rsidR="005F5F9F">
        <w:rPr>
          <w:sz w:val="22"/>
          <w:szCs w:val="22"/>
        </w:rPr>
        <w:t xml:space="preserve"> kapitole </w:t>
      </w:r>
      <w:r w:rsidR="007F3D3F">
        <w:rPr>
          <w:sz w:val="22"/>
          <w:szCs w:val="22"/>
        </w:rPr>
        <w:t xml:space="preserve">1.2.3 Podkladového materiálu. </w:t>
      </w:r>
      <w:r w:rsidR="00277944">
        <w:rPr>
          <w:sz w:val="22"/>
          <w:szCs w:val="22"/>
        </w:rPr>
        <w:t xml:space="preserve">Schematicky jsou </w:t>
      </w:r>
      <w:r w:rsidR="00FA0AA7">
        <w:rPr>
          <w:sz w:val="22"/>
          <w:szCs w:val="22"/>
        </w:rPr>
        <w:t xml:space="preserve">generické znalostní domény </w:t>
      </w:r>
      <w:r w:rsidR="00FA0AA7" w:rsidRPr="00FA0AA7">
        <w:rPr>
          <w:sz w:val="22"/>
          <w:szCs w:val="22"/>
        </w:rPr>
        <w:t>zpřehledněny</w:t>
      </w:r>
      <w:r w:rsidR="00277944" w:rsidRPr="00FA0AA7">
        <w:rPr>
          <w:sz w:val="22"/>
          <w:szCs w:val="22"/>
        </w:rPr>
        <w:t xml:space="preserve"> ve Vertikalizační matici</w:t>
      </w:r>
      <w:r w:rsidR="00277944">
        <w:rPr>
          <w:sz w:val="22"/>
          <w:szCs w:val="22"/>
        </w:rPr>
        <w:t xml:space="preserve"> </w:t>
      </w:r>
      <w:r w:rsidR="00B028E7">
        <w:rPr>
          <w:sz w:val="22"/>
          <w:szCs w:val="22"/>
        </w:rPr>
        <w:t xml:space="preserve">(viz níže) </w:t>
      </w:r>
      <w:r w:rsidR="00277944">
        <w:rPr>
          <w:sz w:val="22"/>
          <w:szCs w:val="22"/>
        </w:rPr>
        <w:t xml:space="preserve">jako </w:t>
      </w:r>
      <w:r w:rsidR="00277944" w:rsidRPr="00277944">
        <w:rPr>
          <w:b/>
          <w:sz w:val="22"/>
          <w:szCs w:val="22"/>
        </w:rPr>
        <w:t>řádky</w:t>
      </w:r>
      <w:r w:rsidR="007202A6">
        <w:rPr>
          <w:b/>
          <w:sz w:val="22"/>
          <w:szCs w:val="22"/>
        </w:rPr>
        <w:t xml:space="preserve"> </w:t>
      </w:r>
      <w:r w:rsidR="007202A6" w:rsidRPr="007202A6">
        <w:rPr>
          <w:sz w:val="22"/>
          <w:szCs w:val="22"/>
        </w:rPr>
        <w:t>této matice</w:t>
      </w:r>
      <w:r w:rsidR="00277944" w:rsidRPr="007202A6">
        <w:rPr>
          <w:sz w:val="22"/>
          <w:szCs w:val="22"/>
        </w:rPr>
        <w:t>.</w:t>
      </w:r>
    </w:p>
    <w:p w14:paraId="30797F15" w14:textId="77777777" w:rsidR="00AD6E2A" w:rsidRDefault="005F5F9F" w:rsidP="00AD6E2A">
      <w:pPr>
        <w:rPr>
          <w:rFonts w:eastAsiaTheme="minorHAnsi" w:cs="Times New Roman"/>
          <w:color w:val="1F497D"/>
          <w:kern w:val="0"/>
          <w:sz w:val="22"/>
          <w:lang w:eastAsia="en-US" w:bidi="ar-SA"/>
        </w:rPr>
      </w:pPr>
      <w:r w:rsidRPr="00FA0AA7">
        <w:rPr>
          <w:b/>
          <w:sz w:val="22"/>
          <w:szCs w:val="22"/>
        </w:rPr>
        <w:t xml:space="preserve">Podkladový materiál je žadatelům k dispozici </w:t>
      </w:r>
      <w:r w:rsidR="00BF1EAB" w:rsidRPr="00FA0AA7">
        <w:rPr>
          <w:b/>
          <w:sz w:val="22"/>
          <w:szCs w:val="22"/>
        </w:rPr>
        <w:t>na webu:</w:t>
      </w:r>
      <w:r w:rsidR="00BF1EAB">
        <w:rPr>
          <w:sz w:val="22"/>
          <w:szCs w:val="22"/>
        </w:rPr>
        <w:t xml:space="preserve"> </w:t>
      </w:r>
      <w:hyperlink r:id="rId12" w:history="1">
        <w:r w:rsidR="00AD6E2A">
          <w:rPr>
            <w:rStyle w:val="Hypertextovodkaz"/>
          </w:rPr>
          <w:t>http://w</w:t>
        </w:r>
        <w:bookmarkStart w:id="1" w:name="_GoBack"/>
        <w:bookmarkEnd w:id="1"/>
        <w:r w:rsidR="00AD6E2A">
          <w:rPr>
            <w:rStyle w:val="Hypertextovodkaz"/>
          </w:rPr>
          <w:t>w</w:t>
        </w:r>
        <w:r w:rsidR="00AD6E2A">
          <w:rPr>
            <w:rStyle w:val="Hypertextovodkaz"/>
          </w:rPr>
          <w:t>w.msmt.cz/strukturalni-fondy/ris3-strategie-cr</w:t>
        </w:r>
      </w:hyperlink>
    </w:p>
    <w:p w14:paraId="19476BF9" w14:textId="77777777" w:rsidR="00277944" w:rsidRPr="00277944" w:rsidRDefault="00B028E7" w:rsidP="002779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potřeby hodnocení </w:t>
      </w:r>
      <w:r w:rsidR="00BF1EAB" w:rsidRPr="00277944">
        <w:rPr>
          <w:sz w:val="22"/>
          <w:szCs w:val="22"/>
        </w:rPr>
        <w:t xml:space="preserve">Žadatel v níže uvedené Vertikalizační matici </w:t>
      </w:r>
      <w:r w:rsidR="00BF1EAB" w:rsidRPr="00B028E7">
        <w:rPr>
          <w:b/>
          <w:sz w:val="22"/>
          <w:szCs w:val="22"/>
        </w:rPr>
        <w:t>vyznačí VaVaI oblasti</w:t>
      </w:r>
      <w:r w:rsidR="00BF1EAB" w:rsidRPr="00277944">
        <w:rPr>
          <w:sz w:val="22"/>
          <w:szCs w:val="22"/>
        </w:rPr>
        <w:t>, v rámci nichž se pohybují mobility realizované v rámci předkládaného projektu.</w:t>
      </w:r>
      <w:r w:rsidR="00277944">
        <w:rPr>
          <w:sz w:val="22"/>
          <w:szCs w:val="22"/>
        </w:rPr>
        <w:t xml:space="preserve"> </w:t>
      </w:r>
      <w:r w:rsidR="00BF1EAB" w:rsidRPr="00277944">
        <w:rPr>
          <w:sz w:val="22"/>
          <w:szCs w:val="22"/>
        </w:rPr>
        <w:t>Žadatel označí všechna pole</w:t>
      </w:r>
      <w:r w:rsidR="007202A6">
        <w:rPr>
          <w:sz w:val="22"/>
          <w:szCs w:val="22"/>
        </w:rPr>
        <w:t xml:space="preserve"> matice</w:t>
      </w:r>
      <w:r w:rsidR="00BF1EAB" w:rsidRPr="00277944">
        <w:rPr>
          <w:sz w:val="22"/>
          <w:szCs w:val="22"/>
        </w:rPr>
        <w:t xml:space="preserve"> relevantní pro předkládaný projekt a </w:t>
      </w:r>
      <w:r w:rsidR="007202A6">
        <w:rPr>
          <w:sz w:val="22"/>
          <w:szCs w:val="22"/>
        </w:rPr>
        <w:t xml:space="preserve">do zvolených polí </w:t>
      </w:r>
      <w:r w:rsidR="00BF1EAB" w:rsidRPr="00B028E7">
        <w:rPr>
          <w:b/>
          <w:sz w:val="22"/>
          <w:szCs w:val="22"/>
        </w:rPr>
        <w:t>připíše indikativní počet mobilit</w:t>
      </w:r>
      <w:r w:rsidR="00BF1EAB" w:rsidRPr="00277944">
        <w:rPr>
          <w:sz w:val="22"/>
          <w:szCs w:val="22"/>
        </w:rPr>
        <w:t xml:space="preserve"> </w:t>
      </w:r>
      <w:r w:rsidR="009357D3">
        <w:rPr>
          <w:sz w:val="22"/>
          <w:szCs w:val="22"/>
        </w:rPr>
        <w:t>plánovaných</w:t>
      </w:r>
      <w:r w:rsidR="00BF1EAB" w:rsidRPr="00277944">
        <w:rPr>
          <w:sz w:val="22"/>
          <w:szCs w:val="22"/>
        </w:rPr>
        <w:t xml:space="preserve"> v dané VaVaI oblasti. </w:t>
      </w:r>
      <w:r w:rsidR="00103FFC">
        <w:rPr>
          <w:sz w:val="22"/>
          <w:szCs w:val="22"/>
        </w:rPr>
        <w:t>Veškeré m</w:t>
      </w:r>
      <w:r w:rsidR="00BF1EAB" w:rsidRPr="00277944">
        <w:rPr>
          <w:sz w:val="22"/>
          <w:szCs w:val="22"/>
        </w:rPr>
        <w:t xml:space="preserve">obility </w:t>
      </w:r>
      <w:r w:rsidR="007202A6">
        <w:rPr>
          <w:sz w:val="22"/>
          <w:szCs w:val="22"/>
        </w:rPr>
        <w:t xml:space="preserve">realizované v rámci předkládaného projektu </w:t>
      </w:r>
      <w:r w:rsidR="00BF1EAB" w:rsidRPr="00277944">
        <w:rPr>
          <w:sz w:val="22"/>
          <w:szCs w:val="22"/>
        </w:rPr>
        <w:t xml:space="preserve">se </w:t>
      </w:r>
      <w:r w:rsidR="00103FFC">
        <w:rPr>
          <w:sz w:val="22"/>
          <w:szCs w:val="22"/>
        </w:rPr>
        <w:t xml:space="preserve">musí </w:t>
      </w:r>
      <w:r w:rsidR="00BF1EAB" w:rsidRPr="00277944">
        <w:rPr>
          <w:sz w:val="22"/>
          <w:szCs w:val="22"/>
        </w:rPr>
        <w:t>pohybovat:</w:t>
      </w:r>
    </w:p>
    <w:p w14:paraId="6405EE3F" w14:textId="77777777" w:rsidR="00277944" w:rsidRPr="00277944" w:rsidRDefault="00BF1EAB" w:rsidP="00277944">
      <w:pPr>
        <w:jc w:val="both"/>
        <w:rPr>
          <w:sz w:val="22"/>
          <w:szCs w:val="22"/>
        </w:rPr>
      </w:pPr>
      <w:r w:rsidRPr="00277944">
        <w:rPr>
          <w:sz w:val="22"/>
          <w:szCs w:val="22"/>
        </w:rPr>
        <w:t xml:space="preserve">a) v průnicích Generických znalostních domén (řádků matice) a Klíčových aplikačních odvětví/témat (sloupců matice), </w:t>
      </w:r>
      <w:r w:rsidR="00103FFC">
        <w:rPr>
          <w:sz w:val="22"/>
          <w:szCs w:val="22"/>
        </w:rPr>
        <w:t>nebo</w:t>
      </w:r>
    </w:p>
    <w:p w14:paraId="5291C8F8" w14:textId="77777777" w:rsidR="00BF1EAB" w:rsidRDefault="00BF1EAB" w:rsidP="008F55D1">
      <w:pPr>
        <w:jc w:val="both"/>
        <w:rPr>
          <w:sz w:val="22"/>
          <w:szCs w:val="22"/>
        </w:rPr>
      </w:pPr>
      <w:r w:rsidRPr="00277944">
        <w:rPr>
          <w:sz w:val="22"/>
          <w:szCs w:val="22"/>
        </w:rPr>
        <w:lastRenderedPageBreak/>
        <w:t xml:space="preserve">b) mimo tyto průniky s tím, že mobilita </w:t>
      </w:r>
      <w:r w:rsidR="009357D3">
        <w:rPr>
          <w:sz w:val="22"/>
          <w:szCs w:val="22"/>
        </w:rPr>
        <w:t>má prokazatelnou spojitost s minimálně jednou z</w:t>
      </w:r>
      <w:r w:rsidRPr="00277944">
        <w:rPr>
          <w:sz w:val="22"/>
          <w:szCs w:val="22"/>
        </w:rPr>
        <w:t> Generických znalostních domén (</w:t>
      </w:r>
      <w:r w:rsidR="00317766">
        <w:rPr>
          <w:sz w:val="22"/>
          <w:szCs w:val="22"/>
        </w:rPr>
        <w:t xml:space="preserve">tj. </w:t>
      </w:r>
      <w:r w:rsidRPr="00277944">
        <w:rPr>
          <w:sz w:val="22"/>
          <w:szCs w:val="22"/>
        </w:rPr>
        <w:t>řádků</w:t>
      </w:r>
      <w:r w:rsidR="00317766">
        <w:rPr>
          <w:sz w:val="22"/>
          <w:szCs w:val="22"/>
        </w:rPr>
        <w:t xml:space="preserve"> matice, přičemž ve sloupci žadatel zaškrtne „jiné aplikační oblasti“</w:t>
      </w:r>
      <w:r w:rsidR="009357D3">
        <w:rPr>
          <w:sz w:val="22"/>
          <w:szCs w:val="22"/>
        </w:rPr>
        <w:t xml:space="preserve"> - pokud žádné uvedené klíčové aplikační odvětví není relevantní</w:t>
      </w:r>
      <w:r w:rsidRPr="00277944">
        <w:rPr>
          <w:sz w:val="22"/>
          <w:szCs w:val="22"/>
        </w:rPr>
        <w:t>) nebo jed</w:t>
      </w:r>
      <w:r w:rsidR="009357D3">
        <w:rPr>
          <w:sz w:val="22"/>
          <w:szCs w:val="22"/>
        </w:rPr>
        <w:t>ním</w:t>
      </w:r>
      <w:r w:rsidRPr="00277944">
        <w:rPr>
          <w:sz w:val="22"/>
          <w:szCs w:val="22"/>
        </w:rPr>
        <w:t xml:space="preserve"> z Klíčových aplikačních odvětví/témat</w:t>
      </w:r>
      <w:r w:rsidR="00317766">
        <w:rPr>
          <w:sz w:val="22"/>
          <w:szCs w:val="22"/>
        </w:rPr>
        <w:t xml:space="preserve"> (tj. sloupců matice, přičemž v řádku žadatel zaškrtne „jiné technologie či znalosti“)</w:t>
      </w:r>
      <w:r w:rsidRPr="00277944">
        <w:rPr>
          <w:sz w:val="22"/>
          <w:szCs w:val="22"/>
        </w:rPr>
        <w:t xml:space="preserve">. </w:t>
      </w:r>
    </w:p>
    <w:p w14:paraId="3DD7A304" w14:textId="418D2F52" w:rsidR="003879C6" w:rsidRPr="00B721E8" w:rsidRDefault="003879C6" w:rsidP="008F55D1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>Žadatel se při prokazování souladu své projektové žádosti s</w:t>
      </w:r>
      <w:r w:rsidR="009357D3">
        <w:rPr>
          <w:sz w:val="22"/>
          <w:szCs w:val="22"/>
        </w:rPr>
        <w:t xml:space="preserve"> Národní </w:t>
      </w:r>
      <w:r w:rsidRPr="00B721E8">
        <w:rPr>
          <w:sz w:val="22"/>
          <w:szCs w:val="22"/>
        </w:rPr>
        <w:t xml:space="preserve">RIS3 strategií </w:t>
      </w:r>
      <w:r w:rsidR="009357D3">
        <w:rPr>
          <w:sz w:val="22"/>
          <w:szCs w:val="22"/>
        </w:rPr>
        <w:t xml:space="preserve">a/nebo její krajskou přílohou </w:t>
      </w:r>
      <w:r w:rsidRPr="00B721E8">
        <w:rPr>
          <w:sz w:val="22"/>
          <w:szCs w:val="22"/>
        </w:rPr>
        <w:t xml:space="preserve">odvolává přímo </w:t>
      </w:r>
      <w:r w:rsidR="00BF1EAB">
        <w:rPr>
          <w:sz w:val="22"/>
          <w:szCs w:val="22"/>
        </w:rPr>
        <w:t xml:space="preserve">na </w:t>
      </w:r>
      <w:r w:rsidRPr="00B721E8">
        <w:rPr>
          <w:sz w:val="22"/>
          <w:szCs w:val="22"/>
        </w:rPr>
        <w:t xml:space="preserve">Podkladový materiál </w:t>
      </w:r>
      <w:r w:rsidR="00BF1EAB">
        <w:rPr>
          <w:sz w:val="22"/>
          <w:szCs w:val="22"/>
        </w:rPr>
        <w:t xml:space="preserve">zpracovaný </w:t>
      </w:r>
      <w:r w:rsidRPr="00B721E8">
        <w:rPr>
          <w:sz w:val="22"/>
          <w:szCs w:val="22"/>
        </w:rPr>
        <w:t xml:space="preserve">ze strany Úřadu vlády </w:t>
      </w:r>
      <w:r w:rsidR="00EE5C7F">
        <w:rPr>
          <w:sz w:val="22"/>
          <w:szCs w:val="22"/>
        </w:rPr>
        <w:t xml:space="preserve">ČR </w:t>
      </w:r>
      <w:r w:rsidRPr="00B721E8">
        <w:rPr>
          <w:sz w:val="22"/>
          <w:szCs w:val="22"/>
        </w:rPr>
        <w:t xml:space="preserve">ve </w:t>
      </w:r>
      <w:r w:rsidR="00BF1EAB">
        <w:rPr>
          <w:sz w:val="22"/>
          <w:szCs w:val="22"/>
        </w:rPr>
        <w:t>spolupráci s MŠMT a koncipovaný</w:t>
      </w:r>
      <w:r w:rsidRPr="00B721E8">
        <w:rPr>
          <w:sz w:val="22"/>
          <w:szCs w:val="22"/>
        </w:rPr>
        <w:t xml:space="preserve"> přímo pro potřeby této Výzvy. Není tak již potřeba odvolávat se na samotnou Národní RIS3 strategii či její regionální přílohy. </w:t>
      </w:r>
      <w:r>
        <w:rPr>
          <w:sz w:val="22"/>
          <w:szCs w:val="22"/>
        </w:rPr>
        <w:t xml:space="preserve"> </w:t>
      </w:r>
    </w:p>
    <w:p w14:paraId="1495B0E4" w14:textId="77777777" w:rsidR="003879C6" w:rsidRDefault="003879C6" w:rsidP="008F55D1">
      <w:pPr>
        <w:jc w:val="both"/>
        <w:rPr>
          <w:lang w:eastAsia="cs-CZ" w:bidi="ar-SA"/>
        </w:rPr>
        <w:sectPr w:rsidR="003879C6" w:rsidSect="003F5D09">
          <w:headerReference w:type="default" r:id="rId13"/>
          <w:footerReference w:type="default" r:id="rId14"/>
          <w:pgSz w:w="11907" w:h="16839" w:code="9"/>
          <w:pgMar w:top="2237" w:right="1417" w:bottom="993" w:left="1417" w:header="510" w:footer="57" w:gutter="0"/>
          <w:cols w:space="708"/>
          <w:docGrid w:linePitch="326" w:charSpace="32768"/>
        </w:sectPr>
      </w:pPr>
    </w:p>
    <w:p w14:paraId="4DAFC589" w14:textId="77777777" w:rsidR="007F3D3F" w:rsidRDefault="003879C6" w:rsidP="00583D14">
      <w:pPr>
        <w:pStyle w:val="Styl2"/>
        <w:numPr>
          <w:ilvl w:val="0"/>
          <w:numId w:val="3"/>
        </w:numPr>
      </w:pPr>
      <w:r w:rsidRPr="00B721E8">
        <w:lastRenderedPageBreak/>
        <w:t>Zařazení předkládaného projektu do Vertikalizační matice</w:t>
      </w:r>
      <w:r w:rsidR="007F3D3F">
        <w:t xml:space="preserve"> </w:t>
      </w:r>
    </w:p>
    <w:p w14:paraId="6B3A0723" w14:textId="31377F84" w:rsidR="00FA0AA7" w:rsidRPr="00EE5C7F" w:rsidRDefault="007F3D3F" w:rsidP="00B75EBC">
      <w:pPr>
        <w:pStyle w:val="Styl2"/>
        <w:spacing w:after="0"/>
        <w:rPr>
          <w:b w:val="0"/>
          <w:i/>
          <w:color w:val="auto"/>
        </w:rPr>
      </w:pPr>
      <w:r w:rsidRPr="00EE5C7F">
        <w:rPr>
          <w:b w:val="0"/>
          <w:i/>
          <w:color w:val="auto"/>
        </w:rPr>
        <w:t xml:space="preserve">Žadatel v polích matice </w:t>
      </w:r>
      <w:r w:rsidR="00FA0AA7" w:rsidRPr="00EE5C7F">
        <w:rPr>
          <w:b w:val="0"/>
          <w:i/>
          <w:color w:val="auto"/>
        </w:rPr>
        <w:t>(</w:t>
      </w:r>
      <w:r w:rsidRPr="00EE5C7F">
        <w:rPr>
          <w:b w:val="0"/>
          <w:i/>
          <w:color w:val="auto"/>
        </w:rPr>
        <w:t>relevantních vzhledem k VaVaI oblastem, ve k</w:t>
      </w:r>
      <w:r w:rsidR="00FA0AA7" w:rsidRPr="00EE5C7F">
        <w:rPr>
          <w:b w:val="0"/>
          <w:i/>
          <w:color w:val="auto"/>
        </w:rPr>
        <w:t>terých jsou mobility realizovány)</w:t>
      </w:r>
      <w:r w:rsidRPr="00EE5C7F">
        <w:rPr>
          <w:b w:val="0"/>
          <w:i/>
          <w:color w:val="auto"/>
        </w:rPr>
        <w:t xml:space="preserve"> uvede indikativní počet plánovaných mobilit v dané VaVaI oblasti</w:t>
      </w:r>
      <w:r w:rsidR="0038431F" w:rsidRPr="00EE5C7F">
        <w:rPr>
          <w:b w:val="0"/>
          <w:i/>
          <w:color w:val="auto"/>
          <w:vertAlign w:val="superscript"/>
        </w:rPr>
        <w:footnoteReference w:id="2"/>
      </w:r>
      <w:r w:rsidR="00FA0AA7" w:rsidRPr="00EE5C7F">
        <w:rPr>
          <w:b w:val="0"/>
          <w:i/>
          <w:color w:val="auto"/>
        </w:rPr>
        <w:t>.</w:t>
      </w:r>
    </w:p>
    <w:p w14:paraId="64328B66" w14:textId="095C39C0" w:rsidR="00317766" w:rsidRPr="00B721E8" w:rsidRDefault="00FA0AA7" w:rsidP="00B75EBC">
      <w:pPr>
        <w:pStyle w:val="Styl2"/>
        <w:spacing w:after="0"/>
      </w:pPr>
      <w:r w:rsidRPr="00EE5C7F">
        <w:rPr>
          <w:b w:val="0"/>
          <w:i/>
          <w:color w:val="auto"/>
        </w:rPr>
        <w:t xml:space="preserve">Žadatel dále též </w:t>
      </w:r>
      <w:r w:rsidR="00103FFC" w:rsidRPr="00EE5C7F">
        <w:rPr>
          <w:b w:val="0"/>
          <w:i/>
          <w:color w:val="auto"/>
        </w:rPr>
        <w:t xml:space="preserve">v pravém dolním rohu tabulky vyplní </w:t>
      </w:r>
      <w:r w:rsidRPr="00EE5C7F">
        <w:rPr>
          <w:b w:val="0"/>
          <w:i/>
          <w:color w:val="auto"/>
        </w:rPr>
        <w:t>kontrolní součet veškerých plánovaných mobilit v</w:t>
      </w:r>
      <w:r w:rsidR="00103FFC" w:rsidRPr="00EE5C7F">
        <w:rPr>
          <w:b w:val="0"/>
          <w:i/>
          <w:color w:val="auto"/>
        </w:rPr>
        <w:t> </w:t>
      </w:r>
      <w:r w:rsidRPr="00EE5C7F">
        <w:rPr>
          <w:b w:val="0"/>
          <w:i/>
          <w:color w:val="auto"/>
        </w:rPr>
        <w:t>projektu</w:t>
      </w:r>
      <w:r w:rsidR="00103FFC" w:rsidRPr="00EE5C7F">
        <w:rPr>
          <w:b w:val="0"/>
          <w:i/>
          <w:color w:val="auto"/>
        </w:rPr>
        <w:t xml:space="preserve"> zpřehledněných v matici. Uvedený součet musí odpovídat počtu mobilit předkládaných v  žádosti</w:t>
      </w:r>
      <w:r w:rsidR="00EB16E8">
        <w:rPr>
          <w:b w:val="0"/>
          <w:i/>
          <w:color w:val="auto"/>
        </w:rPr>
        <w:t xml:space="preserve"> o </w:t>
      </w:r>
      <w:r w:rsidR="004907D1">
        <w:rPr>
          <w:b w:val="0"/>
          <w:i/>
          <w:color w:val="auto"/>
        </w:rPr>
        <w:t>podporu</w:t>
      </w:r>
      <w:r w:rsidR="00103FFC" w:rsidRPr="00EE5C7F">
        <w:rPr>
          <w:b w:val="0"/>
          <w:i/>
          <w:color w:val="auto"/>
        </w:rPr>
        <w:t>.</w:t>
      </w:r>
    </w:p>
    <w:tbl>
      <w:tblPr>
        <w:tblW w:w="5590" w:type="pct"/>
        <w:tblInd w:w="-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547"/>
        <w:gridCol w:w="1654"/>
        <w:gridCol w:w="1219"/>
        <w:gridCol w:w="853"/>
        <w:gridCol w:w="1001"/>
        <w:gridCol w:w="1005"/>
        <w:gridCol w:w="996"/>
        <w:gridCol w:w="996"/>
        <w:gridCol w:w="996"/>
        <w:gridCol w:w="866"/>
        <w:gridCol w:w="1371"/>
        <w:gridCol w:w="848"/>
        <w:gridCol w:w="1056"/>
        <w:gridCol w:w="565"/>
        <w:gridCol w:w="561"/>
        <w:gridCol w:w="514"/>
        <w:gridCol w:w="908"/>
        <w:gridCol w:w="1140"/>
        <w:gridCol w:w="1237"/>
        <w:gridCol w:w="834"/>
        <w:gridCol w:w="1015"/>
        <w:gridCol w:w="834"/>
        <w:gridCol w:w="695"/>
        <w:gridCol w:w="908"/>
      </w:tblGrid>
      <w:tr w:rsidR="0062159B" w:rsidRPr="00A705B6" w14:paraId="2BC8C56E" w14:textId="77777777" w:rsidTr="00FA0AA7">
        <w:trPr>
          <w:trHeight w:val="450"/>
        </w:trPr>
        <w:tc>
          <w:tcPr>
            <w:tcW w:w="593" w:type="pct"/>
            <w:gridSpan w:val="3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</w:tcPr>
          <w:p w14:paraId="021AB036" w14:textId="77777777" w:rsidR="0062159B" w:rsidRPr="00942414" w:rsidDel="00441809" w:rsidRDefault="0062159B" w:rsidP="008F55D1">
            <w:pPr>
              <w:spacing w:after="0" w:line="240" w:lineRule="auto"/>
              <w:rPr>
                <w:rFonts w:ascii="Arial,Times New Roman" w:eastAsia="Arial,Times New Roman" w:hAnsi="Arial,Times New Roman" w:cs="Arial,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bookmarkStart w:id="2" w:name="OLE_LINK1"/>
            <w:bookmarkEnd w:id="0"/>
          </w:p>
        </w:tc>
        <w:tc>
          <w:tcPr>
            <w:tcW w:w="3214" w:type="pct"/>
            <w:gridSpan w:val="16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</w:tcPr>
          <w:p w14:paraId="54E6A729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>
              <w:rPr>
                <w:rFonts w:ascii="Arial" w:eastAsia="Arial,Times New Roman" w:hAnsi="Arial" w:cs="Arial"/>
                <w:b/>
                <w:bCs/>
                <w:color w:val="FFFFFF"/>
                <w:sz w:val="20"/>
                <w:lang w:eastAsia="cs-CZ"/>
              </w:rPr>
              <w:t xml:space="preserve">KLÍČOVÁ </w:t>
            </w: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20"/>
                <w:lang w:eastAsia="cs-CZ"/>
              </w:rPr>
              <w:t>APLIKAČNÍ ODVĚTVÍ/TÉMATA</w:t>
            </w:r>
            <w:r w:rsidRPr="00E55A8B">
              <w:rPr>
                <w:rStyle w:val="Znakapoznpodarou"/>
                <w:rFonts w:ascii="Arial" w:eastAsia="Arial,Times New Roman" w:hAnsi="Arial" w:cs="Arial"/>
                <w:b/>
                <w:bCs/>
                <w:color w:val="FFFFFF"/>
                <w:lang w:eastAsia="cs-CZ"/>
              </w:rPr>
              <w:footnoteReference w:id="3"/>
            </w:r>
            <w:r w:rsidRPr="00E55A8B">
              <w:rPr>
                <w:rFonts w:ascii="Arial" w:eastAsia="Arial,Times New Roman" w:hAnsi="Arial" w:cs="Arial"/>
                <w:b/>
                <w:bCs/>
                <w:color w:val="FFFFFF"/>
                <w:sz w:val="22"/>
                <w:lang w:eastAsia="cs-CZ"/>
              </w:rPr>
              <w:t xml:space="preserve"> </w:t>
            </w: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20"/>
                <w:lang w:eastAsia="cs-CZ"/>
              </w:rPr>
              <w:t xml:space="preserve"> (zaostřená na základě pokročil</w:t>
            </w:r>
            <w:r>
              <w:rPr>
                <w:rFonts w:ascii="Arial" w:eastAsia="Arial,Times New Roman" w:hAnsi="Arial" w:cs="Arial"/>
                <w:b/>
                <w:bCs/>
                <w:color w:val="FFFFFF"/>
                <w:sz w:val="20"/>
                <w:lang w:eastAsia="cs-CZ"/>
              </w:rPr>
              <w:t>é</w:t>
            </w: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20"/>
                <w:lang w:eastAsia="cs-CZ"/>
              </w:rPr>
              <w:t xml:space="preserve"> fáze EDP v aktualizované Národní RIS3 strategii)</w:t>
            </w:r>
            <w:r>
              <w:rPr>
                <w:rFonts w:ascii="Arial" w:eastAsia="Arial,Times New Roman" w:hAnsi="Arial" w:cs="Arial"/>
                <w:b/>
                <w:bCs/>
                <w:color w:val="FFFFFF"/>
                <w:sz w:val="20"/>
                <w:lang w:eastAsia="cs-CZ"/>
              </w:rPr>
              <w:t xml:space="preserve"> – národní úroveň</w:t>
            </w:r>
          </w:p>
        </w:tc>
        <w:tc>
          <w:tcPr>
            <w:tcW w:w="996" w:type="pct"/>
            <w:gridSpan w:val="5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8064A2"/>
            <w:vAlign w:val="center"/>
          </w:tcPr>
          <w:p w14:paraId="2FA7BBCC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Krajsky specifick</w:t>
            </w:r>
            <w:r>
              <w:rPr>
                <w:rFonts w:ascii="Arial" w:eastAsia="Arial,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á aplikační odvětví</w:t>
            </w: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  <w:t>/témata</w:t>
            </w:r>
            <w:r w:rsidRPr="00E55A8B">
              <w:rPr>
                <w:rStyle w:val="Znakapoznpodarou"/>
                <w:rFonts w:ascii="Arial" w:eastAsia="Arial,Times New Roman" w:hAnsi="Arial" w:cs="Arial"/>
                <w:b/>
                <w:bCs/>
                <w:color w:val="FFFFFF"/>
                <w:szCs w:val="18"/>
                <w:lang w:eastAsia="cs-CZ"/>
              </w:rPr>
              <w:footnoteReference w:id="4"/>
            </w:r>
          </w:p>
        </w:tc>
        <w:tc>
          <w:tcPr>
            <w:tcW w:w="197" w:type="pct"/>
            <w:vMerge w:val="restart"/>
            <w:tcBorders>
              <w:top w:val="single" w:sz="12" w:space="0" w:color="80A1B6"/>
              <w:left w:val="single" w:sz="12" w:space="0" w:color="76979C"/>
              <w:right w:val="single" w:sz="12" w:space="0" w:color="80A1B6"/>
            </w:tcBorders>
            <w:shd w:val="clear" w:color="auto" w:fill="FFFFCC"/>
            <w:textDirection w:val="btLr"/>
            <w:vAlign w:val="center"/>
          </w:tcPr>
          <w:p w14:paraId="50DC3ACE" w14:textId="77777777" w:rsidR="0062159B" w:rsidRPr="0062159B" w:rsidRDefault="0062159B" w:rsidP="0062159B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8"/>
                <w:szCs w:val="18"/>
                <w:lang w:eastAsia="cs-CZ"/>
              </w:rPr>
            </w:pPr>
            <w:r w:rsidRPr="0062159B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Jiné</w:t>
            </w:r>
            <w:r w:rsidR="00AA0A9F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 xml:space="preserve"> (vlevo neuvedené)</w:t>
            </w:r>
            <w:r w:rsidRPr="0062159B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 xml:space="preserve"> aplikační oblasti</w:t>
            </w:r>
            <w:r w:rsidR="00BA3403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/témata</w:t>
            </w:r>
          </w:p>
        </w:tc>
      </w:tr>
      <w:tr w:rsidR="0062159B" w:rsidRPr="00A705B6" w14:paraId="23E94453" w14:textId="77777777" w:rsidTr="00FA0AA7">
        <w:trPr>
          <w:trHeight w:val="1478"/>
        </w:trPr>
        <w:tc>
          <w:tcPr>
            <w:tcW w:w="593" w:type="pct"/>
            <w:gridSpan w:val="3"/>
            <w:vMerge w:val="restart"/>
            <w:tcBorders>
              <w:top w:val="single" w:sz="12" w:space="0" w:color="80A1B6"/>
              <w:left w:val="single" w:sz="12" w:space="0" w:color="80A1B6"/>
              <w:right w:val="single" w:sz="12" w:space="0" w:color="80A1B6"/>
            </w:tcBorders>
            <w:shd w:val="clear" w:color="auto" w:fill="4F81BD"/>
            <w:vAlign w:val="center"/>
          </w:tcPr>
          <w:p w14:paraId="504AE992" w14:textId="77777777" w:rsidR="0062159B" w:rsidRPr="00CF6038" w:rsidRDefault="0062159B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64EF735C" w14:textId="77777777" w:rsidR="0062159B" w:rsidRPr="00CF6038" w:rsidRDefault="0062159B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63" w:type="pct"/>
            <w:gridSpan w:val="3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51296AC9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Pokročilé stroje/technologie pro silný a globálně konkurenceschopný průmysl </w:t>
            </w:r>
          </w:p>
          <w:p w14:paraId="3CF27D1B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3DB657B7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(NIP I. - Strojírenství, energetika a hutnictví)</w:t>
            </w:r>
          </w:p>
        </w:tc>
        <w:tc>
          <w:tcPr>
            <w:tcW w:w="432" w:type="pct"/>
            <w:gridSpan w:val="2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174FD855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Digital market technologies a elektrotechnika </w:t>
            </w:r>
          </w:p>
          <w:p w14:paraId="6D2AE7FA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22125D61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(NIP II. - Elektronika, elektrotechnika a ICT)</w:t>
            </w:r>
          </w:p>
        </w:tc>
        <w:tc>
          <w:tcPr>
            <w:tcW w:w="617" w:type="pct"/>
            <w:gridSpan w:val="3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359519F2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Dopravní prostředky pro 21. století </w:t>
            </w:r>
          </w:p>
          <w:p w14:paraId="34112C3C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11DAD30A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(NIP III. – Výroba dopravních prostředků)</w:t>
            </w:r>
          </w:p>
        </w:tc>
        <w:tc>
          <w:tcPr>
            <w:tcW w:w="296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12DEE6ED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Péče o zdraví, pokročilá medicína </w:t>
            </w:r>
          </w:p>
          <w:p w14:paraId="0C4DBFBC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(NIP IV. - Léčiva, biotechnologie, prostředky zdrav. techniky, Life Sciences)</w:t>
            </w:r>
          </w:p>
        </w:tc>
        <w:tc>
          <w:tcPr>
            <w:tcW w:w="411" w:type="pct"/>
            <w:gridSpan w:val="2"/>
            <w:tcBorders>
              <w:top w:val="single" w:sz="12" w:space="0" w:color="80A1B6"/>
              <w:left w:val="single" w:sz="12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1DC1342A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Kulturní a kreativní odvětví </w:t>
            </w:r>
          </w:p>
          <w:p w14:paraId="17FAF0D3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10F57FA9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(NIP V. - Kulturní a kreativní průmysly)</w:t>
            </w:r>
          </w:p>
          <w:p w14:paraId="352F21EE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550" w:type="pct"/>
            <w:gridSpan w:val="4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</w:tcPr>
          <w:p w14:paraId="6C356F64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Zemědělství a životní prostředí </w:t>
            </w:r>
          </w:p>
          <w:p w14:paraId="58FF378D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52030F89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(NIP VI.)</w:t>
            </w:r>
          </w:p>
        </w:tc>
        <w:tc>
          <w:tcPr>
            <w:tcW w:w="246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4F81BD"/>
            <w:vAlign w:val="center"/>
            <w:hideMark/>
          </w:tcPr>
          <w:p w14:paraId="5A77E983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Společenské výzvy</w:t>
            </w:r>
          </w:p>
          <w:p w14:paraId="45463243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  <w:p w14:paraId="31030EDB" w14:textId="77777777" w:rsidR="0062159B" w:rsidRPr="00942414" w:rsidRDefault="0062159B" w:rsidP="007F3D3F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(NIP VII.)</w:t>
            </w:r>
          </w:p>
        </w:tc>
        <w:tc>
          <w:tcPr>
            <w:tcW w:w="996" w:type="pct"/>
            <w:gridSpan w:val="5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8064A2"/>
            <w:vAlign w:val="center"/>
          </w:tcPr>
          <w:p w14:paraId="5D5DAB38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97" w:type="pct"/>
            <w:vMerge/>
            <w:tcBorders>
              <w:left w:val="single" w:sz="12" w:space="0" w:color="76979C"/>
              <w:right w:val="single" w:sz="12" w:space="0" w:color="80A1B6"/>
            </w:tcBorders>
            <w:shd w:val="clear" w:color="auto" w:fill="FFFFCC"/>
          </w:tcPr>
          <w:p w14:paraId="6D7E5E01" w14:textId="77777777" w:rsidR="0062159B" w:rsidRPr="00DF5BC4" w:rsidRDefault="0062159B" w:rsidP="008F5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FFFFFF"/>
                <w:sz w:val="16"/>
                <w:szCs w:val="16"/>
                <w:lang w:eastAsia="cs-CZ"/>
              </w:rPr>
            </w:pPr>
          </w:p>
        </w:tc>
      </w:tr>
      <w:tr w:rsidR="0062159B" w:rsidRPr="00A705B6" w14:paraId="37F0F266" w14:textId="77777777" w:rsidTr="00FA0AA7">
        <w:trPr>
          <w:cantSplit/>
          <w:trHeight w:val="1692"/>
        </w:trPr>
        <w:tc>
          <w:tcPr>
            <w:tcW w:w="593" w:type="pct"/>
            <w:gridSpan w:val="3"/>
            <w:vMerge/>
            <w:tcBorders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000000" w:fill="4F81BD"/>
            <w:vAlign w:val="center"/>
          </w:tcPr>
          <w:p w14:paraId="46EEF6A6" w14:textId="77777777" w:rsidR="0062159B" w:rsidRPr="00CF6038" w:rsidRDefault="0062159B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263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5879179E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Strojírenství mechatronika</w:t>
            </w:r>
          </w:p>
        </w:tc>
        <w:tc>
          <w:tcPr>
            <w:tcW w:w="184" w:type="pct"/>
            <w:tcBorders>
              <w:top w:val="single" w:sz="4" w:space="0" w:color="80A1B6"/>
              <w:left w:val="single" w:sz="8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388BF605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Hutnictví</w:t>
            </w:r>
          </w:p>
        </w:tc>
        <w:tc>
          <w:tcPr>
            <w:tcW w:w="215" w:type="pct"/>
            <w:tcBorders>
              <w:top w:val="single" w:sz="4" w:space="0" w:color="80A1B6"/>
              <w:left w:val="single" w:sz="8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6C69EDB0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Energetika</w:t>
            </w:r>
          </w:p>
        </w:tc>
        <w:tc>
          <w:tcPr>
            <w:tcW w:w="217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36D06AE8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Elektronika a elektrotechnika v digitálním věku</w:t>
            </w:r>
          </w:p>
        </w:tc>
        <w:tc>
          <w:tcPr>
            <w:tcW w:w="215" w:type="pct"/>
            <w:tcBorders>
              <w:top w:val="single" w:sz="4" w:space="0" w:color="80A1B6"/>
              <w:left w:val="single" w:sz="8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74A20465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Digitální ekonomika a digitální obsah</w:t>
            </w:r>
          </w:p>
        </w:tc>
        <w:tc>
          <w:tcPr>
            <w:tcW w:w="215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068F86CA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Automotive</w:t>
            </w:r>
          </w:p>
        </w:tc>
        <w:tc>
          <w:tcPr>
            <w:tcW w:w="215" w:type="pct"/>
            <w:tcBorders>
              <w:top w:val="single" w:sz="4" w:space="0" w:color="80A1B6"/>
              <w:left w:val="single" w:sz="8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4B329CAB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Železniční a kolejová vozidla</w:t>
            </w:r>
          </w:p>
        </w:tc>
        <w:tc>
          <w:tcPr>
            <w:tcW w:w="187" w:type="pct"/>
            <w:tcBorders>
              <w:top w:val="single" w:sz="4" w:space="0" w:color="80A1B6"/>
              <w:left w:val="single" w:sz="8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6FB1292E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Letecký a kosmický průmysl</w:t>
            </w:r>
          </w:p>
        </w:tc>
        <w:tc>
          <w:tcPr>
            <w:tcW w:w="296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7A85BA7A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Léčiva, biotechnologie, prostředky zdravotnické techniky a Life Sciences</w:t>
            </w:r>
          </w:p>
        </w:tc>
        <w:tc>
          <w:tcPr>
            <w:tcW w:w="183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8" w:space="0" w:color="80A1B6"/>
            </w:tcBorders>
            <w:shd w:val="clear" w:color="auto" w:fill="B8CCE4"/>
            <w:vAlign w:val="center"/>
            <w:hideMark/>
          </w:tcPr>
          <w:p w14:paraId="774FC265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Tradiční kulturní a kreativní průmysly</w:t>
            </w:r>
          </w:p>
        </w:tc>
        <w:tc>
          <w:tcPr>
            <w:tcW w:w="228" w:type="pct"/>
            <w:tcBorders>
              <w:top w:val="single" w:sz="4" w:space="0" w:color="80A1B6"/>
              <w:left w:val="single" w:sz="8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49E18212" w14:textId="32B2C92F" w:rsidR="0062159B" w:rsidRPr="00942414" w:rsidRDefault="0062159B" w:rsidP="00836B58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Nové kulturní a kreativní průmysly</w:t>
            </w:r>
          </w:p>
        </w:tc>
        <w:tc>
          <w:tcPr>
            <w:tcW w:w="122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textDirection w:val="btLr"/>
            <w:vAlign w:val="center"/>
          </w:tcPr>
          <w:p w14:paraId="6B47BD3C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Udržitelné hospodaření s přírodními zdroji; </w:t>
            </w:r>
          </w:p>
        </w:tc>
        <w:tc>
          <w:tcPr>
            <w:tcW w:w="121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textDirection w:val="btLr"/>
            <w:vAlign w:val="center"/>
          </w:tcPr>
          <w:p w14:paraId="3A3398B0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Udržitelné zemědělství a lesnictví; </w:t>
            </w:r>
          </w:p>
        </w:tc>
        <w:tc>
          <w:tcPr>
            <w:tcW w:w="111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textDirection w:val="btLr"/>
            <w:vAlign w:val="center"/>
          </w:tcPr>
          <w:p w14:paraId="6875755F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Udržitelná produkce potravin; </w:t>
            </w:r>
          </w:p>
        </w:tc>
        <w:tc>
          <w:tcPr>
            <w:tcW w:w="196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textDirection w:val="btLr"/>
            <w:vAlign w:val="center"/>
          </w:tcPr>
          <w:p w14:paraId="7D24AAC1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Zajištění zdravého a kvalitního životního prostředí a efektivní využívání přír. zdrojů</w:t>
            </w:r>
          </w:p>
        </w:tc>
        <w:tc>
          <w:tcPr>
            <w:tcW w:w="246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B8CCE4"/>
            <w:vAlign w:val="center"/>
            <w:hideMark/>
          </w:tcPr>
          <w:p w14:paraId="02B7A7E0" w14:textId="77777777" w:rsidR="0062159B" w:rsidRPr="00942414" w:rsidRDefault="0062159B" w:rsidP="008F55D1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Bezpečnostní výzkum; Výzkum ve zdravotnictví; Práce, soc. služby a důchodový systém</w:t>
            </w:r>
          </w:p>
        </w:tc>
        <w:tc>
          <w:tcPr>
            <w:tcW w:w="267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CCC0D9"/>
            <w:textDirection w:val="btLr"/>
          </w:tcPr>
          <w:p w14:paraId="5AAFF64B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Chemie a chemický průmysl –  kraje: Karlovarský, Olomoucký, Středočeský  Ústecký, Pardubický </w:t>
            </w:r>
          </w:p>
        </w:tc>
        <w:tc>
          <w:tcPr>
            <w:tcW w:w="180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CCC0D9"/>
            <w:textDirection w:val="btLr"/>
          </w:tcPr>
          <w:p w14:paraId="2B8884C0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Sklářství a keramika – kraje: Ústecký, Karlovarský, Liberecký</w:t>
            </w:r>
          </w:p>
        </w:tc>
        <w:tc>
          <w:tcPr>
            <w:tcW w:w="219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CCC0D9"/>
            <w:textDirection w:val="btLr"/>
          </w:tcPr>
          <w:p w14:paraId="2F597AA4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 xml:space="preserve">Gumárenství a plastikářství – kraje: Karlovarský, Královéhradecký, Zlínský  </w:t>
            </w:r>
          </w:p>
          <w:p w14:paraId="16C2A498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</w:p>
          <w:p w14:paraId="44312BD7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180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CCC0D9"/>
            <w:textDirection w:val="btLr"/>
          </w:tcPr>
          <w:p w14:paraId="2D6BC208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Textil – kraje: Pardubický, Liberecký,  Královéhradecký</w:t>
            </w:r>
          </w:p>
          <w:p w14:paraId="19FF681A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150" w:type="pct"/>
            <w:tcBorders>
              <w:top w:val="single" w:sz="4" w:space="0" w:color="80A1B6"/>
              <w:left w:val="single" w:sz="12" w:space="0" w:color="80A1B6"/>
              <w:bottom w:val="single" w:sz="12" w:space="0" w:color="80A1B6"/>
              <w:right w:val="single" w:sz="12" w:space="0" w:color="76979C"/>
            </w:tcBorders>
            <w:shd w:val="clear" w:color="auto" w:fill="CCC0D9"/>
            <w:textDirection w:val="btLr"/>
          </w:tcPr>
          <w:p w14:paraId="764973F3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  <w:t>Balneologie a lázeňství – kraj: Karlovarský</w:t>
            </w:r>
          </w:p>
        </w:tc>
        <w:tc>
          <w:tcPr>
            <w:tcW w:w="197" w:type="pct"/>
            <w:vMerge/>
            <w:tcBorders>
              <w:left w:val="single" w:sz="12" w:space="0" w:color="76979C"/>
              <w:bottom w:val="single" w:sz="12" w:space="0" w:color="80A1B6"/>
              <w:right w:val="single" w:sz="12" w:space="0" w:color="80A1B6"/>
            </w:tcBorders>
            <w:shd w:val="clear" w:color="auto" w:fill="FFFFCC"/>
            <w:textDirection w:val="btLr"/>
          </w:tcPr>
          <w:p w14:paraId="7AF22E8E" w14:textId="77777777" w:rsidR="0062159B" w:rsidRPr="00942414" w:rsidRDefault="0062159B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Cs/>
                <w:color w:val="365F91"/>
                <w:sz w:val="16"/>
                <w:szCs w:val="16"/>
                <w:lang w:eastAsia="cs-CZ"/>
              </w:rPr>
            </w:pPr>
          </w:p>
        </w:tc>
      </w:tr>
      <w:tr w:rsidR="001672DF" w:rsidRPr="00A705B6" w14:paraId="4DA4A698" w14:textId="77777777" w:rsidTr="00FA0AA7">
        <w:trPr>
          <w:trHeight w:val="567"/>
        </w:trPr>
        <w:tc>
          <w:tcPr>
            <w:tcW w:w="118" w:type="pct"/>
            <w:vMerge w:val="restart"/>
            <w:tcBorders>
              <w:top w:val="single" w:sz="12" w:space="0" w:color="80A1B6"/>
              <w:left w:val="single" w:sz="12" w:space="0" w:color="80A1B6"/>
              <w:right w:val="single" w:sz="12" w:space="0" w:color="80A1B6"/>
            </w:tcBorders>
            <w:shd w:val="clear" w:color="auto" w:fill="76923C"/>
            <w:textDirection w:val="btLr"/>
            <w:vAlign w:val="center"/>
          </w:tcPr>
          <w:p w14:paraId="319013CA" w14:textId="77777777" w:rsidR="006B3870" w:rsidRPr="00942414" w:rsidRDefault="006B3870" w:rsidP="008F55D1">
            <w:pPr>
              <w:spacing w:after="0" w:line="240" w:lineRule="auto"/>
              <w:ind w:left="113" w:right="113"/>
              <w:jc w:val="center"/>
              <w:rPr>
                <w:rFonts w:ascii="Arial" w:eastAsia="Arial,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FFFFFF"/>
                <w:sz w:val="20"/>
                <w:lang w:eastAsia="cs-CZ"/>
              </w:rPr>
              <w:t>GENERICKÉ ZNALOSTNÍ DOMÉNY</w:t>
            </w:r>
            <w:r w:rsidRPr="00E55A8B">
              <w:rPr>
                <w:rStyle w:val="Znakapoznpodarou"/>
                <w:rFonts w:ascii="Arial" w:eastAsia="Arial,Times New Roman" w:hAnsi="Arial" w:cs="Arial"/>
                <w:bCs/>
                <w:color w:val="FFFFFF"/>
                <w:lang w:eastAsia="cs-CZ"/>
              </w:rPr>
              <w:footnoteReference w:id="5"/>
            </w:r>
          </w:p>
        </w:tc>
        <w:tc>
          <w:tcPr>
            <w:tcW w:w="118" w:type="pct"/>
            <w:vMerge w:val="restart"/>
            <w:tcBorders>
              <w:top w:val="single" w:sz="12" w:space="0" w:color="80A1B6"/>
              <w:left w:val="single" w:sz="12" w:space="0" w:color="80A1B6"/>
              <w:right w:val="single" w:sz="12" w:space="0" w:color="80A1B6"/>
            </w:tcBorders>
            <w:shd w:val="clear" w:color="auto" w:fill="D6E3BC" w:themeFill="accent3" w:themeFillTint="66"/>
            <w:textDirection w:val="btLr"/>
            <w:vAlign w:val="center"/>
          </w:tcPr>
          <w:p w14:paraId="7F53F2F6" w14:textId="77777777" w:rsidR="006B3870" w:rsidRPr="00942414" w:rsidRDefault="006B3870" w:rsidP="008F55D1">
            <w:pPr>
              <w:spacing w:after="0" w:line="240" w:lineRule="auto"/>
              <w:ind w:left="113" w:right="113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Key enabling technologies (KETs)</w:t>
            </w:r>
          </w:p>
        </w:tc>
        <w:tc>
          <w:tcPr>
            <w:tcW w:w="357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D6E3BC"/>
            <w:vAlign w:val="center"/>
          </w:tcPr>
          <w:p w14:paraId="529CCB9D" w14:textId="77777777" w:rsidR="006B3870" w:rsidRPr="00942414" w:rsidRDefault="006B3870" w:rsidP="008F55D1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Pokročilé materiály</w:t>
            </w:r>
          </w:p>
        </w:tc>
        <w:tc>
          <w:tcPr>
            <w:tcW w:w="263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43C36C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12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750F3E7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12" w:space="0" w:color="80A1B6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4DC864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7B18B91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12" w:space="0" w:color="80A1B6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7E81C35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53305AC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12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0117E46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single" w:sz="12" w:space="0" w:color="80A1B6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0CA2284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43EFCBA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164191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single" w:sz="12" w:space="0" w:color="80A1B6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5824A7CE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1146791C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57A0D08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4F6CD56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1D44EFF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78B6E57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1B8E076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32BF005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47BED9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0157266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single" w:sz="12" w:space="0" w:color="80A1B6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0769281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7" w:type="pct"/>
            <w:tcBorders>
              <w:top w:val="single" w:sz="12" w:space="0" w:color="80A1B6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6834D38D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1672DF" w:rsidRPr="00A705B6" w14:paraId="7FB5CE7A" w14:textId="77777777" w:rsidTr="00FA0AA7">
        <w:trPr>
          <w:trHeight w:val="567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4097F99F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D6E3BC" w:themeFill="accent3" w:themeFillTint="66"/>
            <w:vAlign w:val="center"/>
          </w:tcPr>
          <w:p w14:paraId="215031E3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D6E3BC"/>
            <w:vAlign w:val="center"/>
          </w:tcPr>
          <w:p w14:paraId="1C96A53D" w14:textId="2D979BA7" w:rsidR="006B3870" w:rsidRPr="00942414" w:rsidRDefault="00AD6E2A" w:rsidP="00836B58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hyperlink w:anchor="RANGE!#ODKAZ!" w:history="1">
              <w:r w:rsidR="006B3870" w:rsidRPr="00942414">
                <w:rPr>
                  <w:rFonts w:ascii="Arial" w:eastAsia="Arial,Times New Roman" w:hAnsi="Arial" w:cs="Arial"/>
                  <w:b/>
                  <w:bCs/>
                  <w:color w:val="365F91"/>
                  <w:sz w:val="16"/>
                  <w:szCs w:val="16"/>
                  <w:lang w:eastAsia="cs-CZ"/>
                </w:rPr>
                <w:t>Nanotechnologie</w:t>
              </w:r>
            </w:hyperlink>
          </w:p>
        </w:tc>
        <w:tc>
          <w:tcPr>
            <w:tcW w:w="26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5A4DCB7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758421F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91823B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5E1E669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4F5188A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05F4C03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197FE63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5AB0723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3E1ADA2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7302E7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7E7431D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4AA933C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5833A94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50F15EF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56D5B5B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5FAA562C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4B8C48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5F575FA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35FC8A5E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3454FAB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3B21F0CE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201FD186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1672DF" w:rsidRPr="00A705B6" w14:paraId="1411D975" w14:textId="77777777" w:rsidTr="00FA0AA7">
        <w:trPr>
          <w:trHeight w:val="567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7CBF257D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D6E3BC" w:themeFill="accent3" w:themeFillTint="66"/>
            <w:vAlign w:val="center"/>
          </w:tcPr>
          <w:p w14:paraId="4C0E2053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D6E3BC"/>
            <w:vAlign w:val="center"/>
          </w:tcPr>
          <w:p w14:paraId="54FAE9FE" w14:textId="77777777" w:rsidR="006B3870" w:rsidRPr="00942414" w:rsidRDefault="006B3870" w:rsidP="008F55D1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Mikro a nanoelektronika</w:t>
            </w:r>
          </w:p>
        </w:tc>
        <w:tc>
          <w:tcPr>
            <w:tcW w:w="26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38EF86F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5818CB4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4A3C3D9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0412891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56211D2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4F68420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DBAC13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30943D2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41FB65C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47C3DE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0D5F08F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11E74A2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7114F8B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4C96349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396C29A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05867FE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13E5760C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4EE558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6539AC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70654E0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796F7A4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44B2A286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1672DF" w:rsidRPr="00A705B6" w14:paraId="10366B61" w14:textId="77777777" w:rsidTr="00FA0AA7">
        <w:trPr>
          <w:trHeight w:val="567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0BD00AC4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D6E3BC" w:themeFill="accent3" w:themeFillTint="66"/>
            <w:vAlign w:val="center"/>
          </w:tcPr>
          <w:p w14:paraId="4739A997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D6E3BC"/>
            <w:vAlign w:val="center"/>
          </w:tcPr>
          <w:p w14:paraId="0A2BDC07" w14:textId="77777777" w:rsidR="006B3870" w:rsidRPr="00942414" w:rsidRDefault="006B3870" w:rsidP="008F55D1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Pokročilé výrobní technologie</w:t>
            </w:r>
          </w:p>
        </w:tc>
        <w:tc>
          <w:tcPr>
            <w:tcW w:w="26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4FA4A7AC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7AC154FC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5E6502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4F9D540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1ACD63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3EA422F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39DDABF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081B7EA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1D65E3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37E8B7B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75DC1A7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17EFB87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284B5D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18403E8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73AAFFC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02236D7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42BC8A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3EBD4E4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7F71506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3925C83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797E051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72966F3D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1672DF" w:rsidRPr="00A705B6" w14:paraId="3F6F9429" w14:textId="77777777" w:rsidTr="00FA0AA7">
        <w:trPr>
          <w:trHeight w:val="567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12C2113A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D6E3BC" w:themeFill="accent3" w:themeFillTint="66"/>
            <w:vAlign w:val="center"/>
          </w:tcPr>
          <w:p w14:paraId="3A1B9F42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D6E3BC"/>
            <w:vAlign w:val="center"/>
          </w:tcPr>
          <w:p w14:paraId="50B981DD" w14:textId="77777777" w:rsidR="006B3870" w:rsidRPr="00942414" w:rsidRDefault="006B3870" w:rsidP="008F55D1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Fotonika</w:t>
            </w:r>
          </w:p>
        </w:tc>
        <w:tc>
          <w:tcPr>
            <w:tcW w:w="26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77B7E1C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45DC87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7CDF6A9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2209375E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569DC53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7DA3FEC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17715DA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7321946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A47D02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008FE45" w14:textId="77777777" w:rsidR="006B3870" w:rsidRPr="00E55A8B" w:rsidRDefault="006B3870" w:rsidP="003879C6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540F8D4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73ACED4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4C17DE5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4AB97AC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48A7456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541F8ED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59B6931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4C357E7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3B40B1E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3BF4F61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3F923CD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683474BE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1672DF" w:rsidRPr="00A705B6" w14:paraId="43442CBD" w14:textId="77777777" w:rsidTr="00FA0AA7">
        <w:trPr>
          <w:trHeight w:val="395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3693BB64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vMerge/>
            <w:tcBorders>
              <w:left w:val="single" w:sz="12" w:space="0" w:color="80A1B6"/>
              <w:bottom w:val="single" w:sz="12" w:space="0" w:color="95B3D7"/>
              <w:right w:val="single" w:sz="12" w:space="0" w:color="80A1B6"/>
            </w:tcBorders>
            <w:shd w:val="clear" w:color="auto" w:fill="D6E3BC" w:themeFill="accent3" w:themeFillTint="66"/>
            <w:vAlign w:val="center"/>
          </w:tcPr>
          <w:p w14:paraId="5C88C4A4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nil"/>
              <w:left w:val="single" w:sz="12" w:space="0" w:color="80A1B6"/>
              <w:bottom w:val="single" w:sz="12" w:space="0" w:color="95B3D7"/>
              <w:right w:val="single" w:sz="12" w:space="0" w:color="80A1B6"/>
            </w:tcBorders>
            <w:shd w:val="clear" w:color="auto" w:fill="D6E3BC"/>
            <w:vAlign w:val="center"/>
          </w:tcPr>
          <w:p w14:paraId="05ECB534" w14:textId="77777777" w:rsidR="006B3870" w:rsidRPr="00942414" w:rsidRDefault="006B3870" w:rsidP="008F55D1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Průmyslové biotechnologie</w:t>
            </w:r>
          </w:p>
        </w:tc>
        <w:tc>
          <w:tcPr>
            <w:tcW w:w="26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4F0356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80A1B6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E3D7C0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47CBB03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6C343D7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B26F85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1112E4A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1CD983A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5F9B5F2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69D2BD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36A7891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5442CA6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15B170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3E90147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386D91F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5E8572D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40929DB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53B9042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7BE1B02C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1C307DE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0B5B9CF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54A1FF4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65CB4C8A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1672DF" w:rsidRPr="00A705B6" w14:paraId="17548449" w14:textId="77777777" w:rsidTr="00FA0AA7">
        <w:trPr>
          <w:trHeight w:val="751"/>
        </w:trPr>
        <w:tc>
          <w:tcPr>
            <w:tcW w:w="118" w:type="pct"/>
            <w:vMerge/>
            <w:tcBorders>
              <w:left w:val="single" w:sz="12" w:space="0" w:color="80A1B6"/>
              <w:right w:val="single" w:sz="12" w:space="0" w:color="80A1B6"/>
            </w:tcBorders>
            <w:shd w:val="clear" w:color="auto" w:fill="76923C"/>
          </w:tcPr>
          <w:p w14:paraId="29752A00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vMerge w:val="restart"/>
            <w:tcBorders>
              <w:top w:val="single" w:sz="12" w:space="0" w:color="95B3D7"/>
              <w:left w:val="single" w:sz="12" w:space="0" w:color="80A1B6"/>
              <w:right w:val="single" w:sz="12" w:space="0" w:color="80A1B6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14:paraId="0ED90597" w14:textId="77777777" w:rsidR="006B3870" w:rsidRPr="00942414" w:rsidRDefault="006B3870" w:rsidP="008F55D1">
            <w:pPr>
              <w:spacing w:after="0" w:line="240" w:lineRule="auto"/>
              <w:ind w:left="113" w:right="113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Netechnologické znalostní domény</w:t>
            </w:r>
          </w:p>
        </w:tc>
        <w:tc>
          <w:tcPr>
            <w:tcW w:w="357" w:type="pct"/>
            <w:tcBorders>
              <w:top w:val="single" w:sz="12" w:space="0" w:color="95B3D7"/>
              <w:left w:val="single" w:sz="12" w:space="0" w:color="80A1B6"/>
              <w:right w:val="single" w:sz="12" w:space="0" w:color="80A1B6"/>
            </w:tcBorders>
            <w:shd w:val="clear" w:color="auto" w:fill="EAF1DD" w:themeFill="accent3" w:themeFillTint="33"/>
            <w:vAlign w:val="center"/>
          </w:tcPr>
          <w:p w14:paraId="36B81F30" w14:textId="77777777" w:rsidR="006B3870" w:rsidRPr="00942414" w:rsidRDefault="006B3870" w:rsidP="008F55D1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Znalosti pro digitální ekonomiku kulturní a kreativní průmysl</w:t>
            </w:r>
          </w:p>
        </w:tc>
        <w:tc>
          <w:tcPr>
            <w:tcW w:w="263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50914A28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80A1B6"/>
              <w:left w:val="single" w:sz="4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70D6B29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778DADA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114AFFFD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054B423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single" w:sz="12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3336E48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80A1B6"/>
              <w:bottom w:val="single" w:sz="4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5BEA1EF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nil"/>
              <w:left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3FB35A6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5E9FE56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nil"/>
              <w:left w:val="single" w:sz="12" w:space="0" w:color="80A1B6"/>
              <w:right w:val="single" w:sz="4" w:space="0" w:color="80A1B6"/>
            </w:tcBorders>
            <w:shd w:val="clear" w:color="auto" w:fill="auto"/>
            <w:vAlign w:val="center"/>
          </w:tcPr>
          <w:p w14:paraId="372F8A6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35DDC59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</w:tcPr>
          <w:p w14:paraId="17F338A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highlight w:val="green"/>
                <w:lang w:eastAsia="cs-CZ"/>
              </w:rPr>
            </w:pPr>
          </w:p>
        </w:tc>
        <w:tc>
          <w:tcPr>
            <w:tcW w:w="12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8D255D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6833B86C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vAlign w:val="center"/>
          </w:tcPr>
          <w:p w14:paraId="2337049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10B7EA47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7AA35BF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680BF91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2E5F794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80A1B6"/>
            </w:tcBorders>
            <w:shd w:val="clear" w:color="auto" w:fill="auto"/>
            <w:vAlign w:val="center"/>
          </w:tcPr>
          <w:p w14:paraId="1FBBE8FE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nil"/>
              <w:left w:val="single" w:sz="12" w:space="0" w:color="80A1B6"/>
              <w:bottom w:val="single" w:sz="4" w:space="0" w:color="80A1B6"/>
              <w:right w:val="single" w:sz="12" w:space="0" w:color="76979C"/>
            </w:tcBorders>
            <w:shd w:val="clear" w:color="auto" w:fill="auto"/>
            <w:vAlign w:val="center"/>
          </w:tcPr>
          <w:p w14:paraId="06E6101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highlight w:val="yellow"/>
                <w:lang w:eastAsia="cs-CZ"/>
              </w:rPr>
            </w:pPr>
          </w:p>
        </w:tc>
        <w:tc>
          <w:tcPr>
            <w:tcW w:w="197" w:type="pct"/>
            <w:tcBorders>
              <w:top w:val="nil"/>
              <w:left w:val="single" w:sz="12" w:space="0" w:color="76979C"/>
              <w:bottom w:val="single" w:sz="4" w:space="0" w:color="80A1B6"/>
              <w:right w:val="single" w:sz="12" w:space="0" w:color="80A1B6"/>
            </w:tcBorders>
            <w:shd w:val="clear" w:color="auto" w:fill="FFFFCC"/>
          </w:tcPr>
          <w:p w14:paraId="43044EEC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1672DF" w:rsidRPr="00A705B6" w14:paraId="30DB02A4" w14:textId="77777777" w:rsidTr="00FA0AA7">
        <w:trPr>
          <w:trHeight w:val="766"/>
        </w:trPr>
        <w:tc>
          <w:tcPr>
            <w:tcW w:w="118" w:type="pct"/>
            <w:vMerge/>
            <w:tcBorders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76923C"/>
          </w:tcPr>
          <w:p w14:paraId="2063A21D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8" w:type="pct"/>
            <w:vMerge/>
            <w:tcBorders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EAF1DD" w:themeFill="accent3" w:themeFillTint="33"/>
            <w:vAlign w:val="center"/>
            <w:hideMark/>
          </w:tcPr>
          <w:p w14:paraId="294EF1DA" w14:textId="77777777" w:rsidR="006B3870" w:rsidRPr="00DF5BC4" w:rsidRDefault="006B3870" w:rsidP="008F5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</w:tc>
        <w:tc>
          <w:tcPr>
            <w:tcW w:w="357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EAF1DD" w:themeFill="accent3" w:themeFillTint="33"/>
            <w:vAlign w:val="center"/>
          </w:tcPr>
          <w:p w14:paraId="54A0FE54" w14:textId="77777777" w:rsidR="006B3870" w:rsidRPr="00942414" w:rsidRDefault="006B3870" w:rsidP="008F55D1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  <w:r w:rsidRPr="00942414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Společenskovědní znalosti pro netechnické inovace</w:t>
            </w:r>
          </w:p>
        </w:tc>
        <w:tc>
          <w:tcPr>
            <w:tcW w:w="263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4" w:space="0" w:color="80A1B6"/>
            </w:tcBorders>
            <w:shd w:val="clear" w:color="auto" w:fill="auto"/>
            <w:vAlign w:val="center"/>
          </w:tcPr>
          <w:p w14:paraId="3F49B6F4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4" w:space="0" w:color="80A1B6"/>
              <w:left w:val="nil"/>
              <w:bottom w:val="single" w:sz="12" w:space="0" w:color="76979C"/>
              <w:right w:val="single" w:sz="4" w:space="0" w:color="80A1B6"/>
            </w:tcBorders>
            <w:shd w:val="clear" w:color="auto" w:fill="auto"/>
            <w:vAlign w:val="center"/>
          </w:tcPr>
          <w:p w14:paraId="09FC91B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4" w:space="0" w:color="80A1B6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396E387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4" w:space="0" w:color="80A1B6"/>
            </w:tcBorders>
            <w:shd w:val="clear" w:color="auto" w:fill="auto"/>
            <w:vAlign w:val="center"/>
          </w:tcPr>
          <w:p w14:paraId="5478650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4" w:space="0" w:color="80A1B6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29C786F2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4" w:space="0" w:color="80A1B6"/>
            </w:tcBorders>
            <w:shd w:val="clear" w:color="auto" w:fill="auto"/>
            <w:vAlign w:val="center"/>
          </w:tcPr>
          <w:p w14:paraId="6690B280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4" w:space="0" w:color="80A1B6"/>
              <w:left w:val="nil"/>
              <w:bottom w:val="single" w:sz="12" w:space="0" w:color="76979C"/>
              <w:right w:val="single" w:sz="4" w:space="0" w:color="80A1B6"/>
            </w:tcBorders>
            <w:shd w:val="clear" w:color="auto" w:fill="auto"/>
            <w:vAlign w:val="center"/>
          </w:tcPr>
          <w:p w14:paraId="581CC85E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single" w:sz="4" w:space="0" w:color="80A1B6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633F9F4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1ACD6A0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4" w:space="0" w:color="80A1B6"/>
            </w:tcBorders>
            <w:shd w:val="clear" w:color="auto" w:fill="auto"/>
            <w:vAlign w:val="center"/>
          </w:tcPr>
          <w:p w14:paraId="5569CAE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single" w:sz="4" w:space="0" w:color="80A1B6"/>
              <w:left w:val="nil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569A3F3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vAlign w:val="center"/>
          </w:tcPr>
          <w:p w14:paraId="7677CA0A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vAlign w:val="center"/>
          </w:tcPr>
          <w:p w14:paraId="6C8ED02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vAlign w:val="center"/>
          </w:tcPr>
          <w:p w14:paraId="3DD43F03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vAlign w:val="center"/>
          </w:tcPr>
          <w:p w14:paraId="12821DA6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24B82EB1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48E3F76B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6C97A9C5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1158EBF9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80A1B6"/>
            </w:tcBorders>
            <w:shd w:val="clear" w:color="auto" w:fill="auto"/>
            <w:vAlign w:val="center"/>
          </w:tcPr>
          <w:p w14:paraId="1B61573F" w14:textId="77777777" w:rsidR="006B3870" w:rsidRPr="00E55A8B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single" w:sz="4" w:space="0" w:color="80A1B6"/>
              <w:left w:val="single" w:sz="12" w:space="0" w:color="80A1B6"/>
              <w:bottom w:val="single" w:sz="12" w:space="0" w:color="76979C"/>
              <w:right w:val="single" w:sz="12" w:space="0" w:color="76979C"/>
            </w:tcBorders>
            <w:shd w:val="clear" w:color="auto" w:fill="auto"/>
            <w:vAlign w:val="center"/>
          </w:tcPr>
          <w:p w14:paraId="005CD0AD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7" w:type="pct"/>
            <w:tcBorders>
              <w:top w:val="single" w:sz="4" w:space="0" w:color="80A1B6"/>
              <w:left w:val="single" w:sz="12" w:space="0" w:color="76979C"/>
              <w:bottom w:val="single" w:sz="12" w:space="0" w:color="76979C"/>
              <w:right w:val="single" w:sz="12" w:space="0" w:color="80A1B6"/>
            </w:tcBorders>
            <w:shd w:val="clear" w:color="auto" w:fill="FFFFCC"/>
          </w:tcPr>
          <w:p w14:paraId="03BE2696" w14:textId="77777777" w:rsidR="006B3870" w:rsidRPr="001B5237" w:rsidRDefault="006B3870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</w:tr>
      <w:tr w:rsidR="001672DF" w:rsidRPr="00A705B6" w14:paraId="2FBD4942" w14:textId="77777777" w:rsidTr="009357D3">
        <w:trPr>
          <w:trHeight w:val="766"/>
        </w:trPr>
        <w:tc>
          <w:tcPr>
            <w:tcW w:w="593" w:type="pct"/>
            <w:gridSpan w:val="3"/>
            <w:tcBorders>
              <w:top w:val="single" w:sz="12" w:space="0" w:color="76979C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FFFFCC"/>
            <w:vAlign w:val="center"/>
          </w:tcPr>
          <w:p w14:paraId="5D010DA0" w14:textId="77777777" w:rsidR="0062159B" w:rsidRPr="00AB60AA" w:rsidRDefault="0062159B" w:rsidP="0062159B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</w:pPr>
          </w:p>
          <w:p w14:paraId="0C74A80E" w14:textId="77777777" w:rsidR="0062159B" w:rsidRPr="0062159B" w:rsidRDefault="0062159B" w:rsidP="0062159B">
            <w:pPr>
              <w:spacing w:after="0" w:line="240" w:lineRule="auto"/>
              <w:rPr>
                <w:rFonts w:ascii="Arial" w:eastAsia="Arial,Times New Roman" w:hAnsi="Arial" w:cs="Arial"/>
                <w:b/>
                <w:bCs/>
                <w:i/>
                <w:color w:val="365F91"/>
                <w:sz w:val="16"/>
                <w:szCs w:val="16"/>
                <w:lang w:eastAsia="cs-CZ"/>
              </w:rPr>
            </w:pPr>
            <w:r w:rsidRPr="00AB60AA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 xml:space="preserve">Jiné </w:t>
            </w:r>
            <w:r w:rsidR="00AA0A9F" w:rsidRPr="00AB60AA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(</w:t>
            </w:r>
            <w:r w:rsidRPr="00AB60AA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výše neuvedené</w:t>
            </w:r>
            <w:r w:rsidR="00AA0A9F" w:rsidRPr="00AB60AA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>)</w:t>
            </w:r>
            <w:r w:rsidRPr="00AB60AA">
              <w:rPr>
                <w:rFonts w:ascii="Arial" w:eastAsia="Arial,Times New Roman" w:hAnsi="Arial" w:cs="Arial"/>
                <w:b/>
                <w:bCs/>
                <w:color w:val="365F91"/>
                <w:sz w:val="16"/>
                <w:szCs w:val="16"/>
                <w:lang w:eastAsia="cs-CZ"/>
              </w:rPr>
              <w:t xml:space="preserve"> technologie či znalosti</w:t>
            </w:r>
          </w:p>
        </w:tc>
        <w:tc>
          <w:tcPr>
            <w:tcW w:w="263" w:type="pct"/>
            <w:tcBorders>
              <w:top w:val="single" w:sz="12" w:space="0" w:color="76979C"/>
              <w:left w:val="single" w:sz="12" w:space="0" w:color="80A1B6"/>
              <w:bottom w:val="single" w:sz="12" w:space="0" w:color="80A1B6"/>
              <w:right w:val="single" w:sz="4" w:space="0" w:color="80A1B6"/>
            </w:tcBorders>
            <w:shd w:val="clear" w:color="auto" w:fill="FFFFCC"/>
            <w:vAlign w:val="center"/>
          </w:tcPr>
          <w:p w14:paraId="725FD2B0" w14:textId="77777777" w:rsidR="0062159B" w:rsidRPr="00E55A8B" w:rsidRDefault="0062159B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4" w:type="pct"/>
            <w:tcBorders>
              <w:top w:val="single" w:sz="12" w:space="0" w:color="76979C"/>
              <w:left w:val="nil"/>
              <w:bottom w:val="single" w:sz="12" w:space="0" w:color="80A1B6"/>
              <w:right w:val="single" w:sz="4" w:space="0" w:color="80A1B6"/>
            </w:tcBorders>
            <w:shd w:val="clear" w:color="auto" w:fill="FFFFCC"/>
            <w:vAlign w:val="center"/>
          </w:tcPr>
          <w:p w14:paraId="61228D37" w14:textId="77777777" w:rsidR="0062159B" w:rsidRPr="00E55A8B" w:rsidRDefault="0062159B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12" w:space="0" w:color="76979C"/>
              <w:left w:val="nil"/>
              <w:bottom w:val="single" w:sz="12" w:space="0" w:color="80A1B6"/>
              <w:right w:val="single" w:sz="12" w:space="0" w:color="80A1B6"/>
            </w:tcBorders>
            <w:shd w:val="clear" w:color="auto" w:fill="FFFFCC"/>
            <w:vAlign w:val="center"/>
          </w:tcPr>
          <w:p w14:paraId="05906AC0" w14:textId="77777777" w:rsidR="0062159B" w:rsidRPr="00E55A8B" w:rsidRDefault="0062159B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7" w:type="pct"/>
            <w:tcBorders>
              <w:top w:val="single" w:sz="12" w:space="0" w:color="76979C"/>
              <w:left w:val="single" w:sz="12" w:space="0" w:color="80A1B6"/>
              <w:bottom w:val="single" w:sz="12" w:space="0" w:color="80A1B6"/>
              <w:right w:val="single" w:sz="4" w:space="0" w:color="80A1B6"/>
            </w:tcBorders>
            <w:shd w:val="clear" w:color="auto" w:fill="FFFFCC"/>
            <w:vAlign w:val="center"/>
          </w:tcPr>
          <w:p w14:paraId="105BED38" w14:textId="77777777" w:rsidR="0062159B" w:rsidRDefault="0062159B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12" w:space="0" w:color="76979C"/>
              <w:left w:val="nil"/>
              <w:bottom w:val="single" w:sz="12" w:space="0" w:color="80A1B6"/>
              <w:right w:val="single" w:sz="12" w:space="0" w:color="80A1B6"/>
            </w:tcBorders>
            <w:shd w:val="clear" w:color="auto" w:fill="FFFFCC"/>
            <w:vAlign w:val="center"/>
          </w:tcPr>
          <w:p w14:paraId="31A829ED" w14:textId="77777777" w:rsidR="0062159B" w:rsidRDefault="0062159B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12" w:space="0" w:color="76979C"/>
              <w:left w:val="single" w:sz="12" w:space="0" w:color="80A1B6"/>
              <w:bottom w:val="single" w:sz="12" w:space="0" w:color="80A1B6"/>
              <w:right w:val="single" w:sz="4" w:space="0" w:color="80A1B6"/>
            </w:tcBorders>
            <w:shd w:val="clear" w:color="auto" w:fill="FFFFCC"/>
            <w:vAlign w:val="center"/>
          </w:tcPr>
          <w:p w14:paraId="1B5D45DD" w14:textId="77777777" w:rsidR="0062159B" w:rsidRPr="00E55A8B" w:rsidRDefault="0062159B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5" w:type="pct"/>
            <w:tcBorders>
              <w:top w:val="single" w:sz="12" w:space="0" w:color="76979C"/>
              <w:left w:val="nil"/>
              <w:bottom w:val="single" w:sz="12" w:space="0" w:color="80A1B6"/>
              <w:right w:val="single" w:sz="4" w:space="0" w:color="80A1B6"/>
            </w:tcBorders>
            <w:shd w:val="clear" w:color="auto" w:fill="FFFFCC"/>
            <w:vAlign w:val="center"/>
          </w:tcPr>
          <w:p w14:paraId="644DDDD0" w14:textId="77777777" w:rsidR="0062159B" w:rsidRPr="00E55A8B" w:rsidRDefault="0062159B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7" w:type="pct"/>
            <w:tcBorders>
              <w:top w:val="single" w:sz="12" w:space="0" w:color="76979C"/>
              <w:left w:val="nil"/>
              <w:bottom w:val="single" w:sz="12" w:space="0" w:color="80A1B6"/>
              <w:right w:val="single" w:sz="12" w:space="0" w:color="80A1B6"/>
            </w:tcBorders>
            <w:shd w:val="clear" w:color="auto" w:fill="FFFFCC"/>
            <w:vAlign w:val="center"/>
          </w:tcPr>
          <w:p w14:paraId="1A436D0D" w14:textId="77777777" w:rsidR="0062159B" w:rsidRPr="00E55A8B" w:rsidRDefault="0062159B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96" w:type="pct"/>
            <w:tcBorders>
              <w:top w:val="single" w:sz="12" w:space="0" w:color="76979C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FFFFCC"/>
            <w:vAlign w:val="center"/>
          </w:tcPr>
          <w:p w14:paraId="27BB4233" w14:textId="77777777" w:rsidR="0062159B" w:rsidRDefault="0062159B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3" w:type="pct"/>
            <w:tcBorders>
              <w:top w:val="single" w:sz="12" w:space="0" w:color="76979C"/>
              <w:left w:val="single" w:sz="12" w:space="0" w:color="80A1B6"/>
              <w:bottom w:val="single" w:sz="12" w:space="0" w:color="80A1B6"/>
              <w:right w:val="single" w:sz="4" w:space="0" w:color="80A1B6"/>
            </w:tcBorders>
            <w:shd w:val="clear" w:color="auto" w:fill="FFFFCC"/>
            <w:vAlign w:val="center"/>
          </w:tcPr>
          <w:p w14:paraId="55E75406" w14:textId="77777777" w:rsidR="0062159B" w:rsidRPr="00E55A8B" w:rsidRDefault="0062159B" w:rsidP="008F55D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28" w:type="pct"/>
            <w:tcBorders>
              <w:top w:val="single" w:sz="12" w:space="0" w:color="76979C"/>
              <w:left w:val="nil"/>
              <w:bottom w:val="single" w:sz="12" w:space="0" w:color="80A1B6"/>
              <w:right w:val="single" w:sz="12" w:space="0" w:color="80A1B6"/>
            </w:tcBorders>
            <w:shd w:val="clear" w:color="auto" w:fill="FFFFCC"/>
            <w:vAlign w:val="center"/>
          </w:tcPr>
          <w:p w14:paraId="268F5E8C" w14:textId="77777777" w:rsidR="0062159B" w:rsidRDefault="0062159B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2" w:type="pct"/>
            <w:tcBorders>
              <w:top w:val="single" w:sz="12" w:space="0" w:color="76979C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FFFFCC"/>
            <w:vAlign w:val="center"/>
          </w:tcPr>
          <w:p w14:paraId="652AD7B4" w14:textId="77777777" w:rsidR="0062159B" w:rsidRDefault="0062159B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21" w:type="pct"/>
            <w:tcBorders>
              <w:top w:val="single" w:sz="12" w:space="0" w:color="76979C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FFFFCC"/>
            <w:vAlign w:val="center"/>
          </w:tcPr>
          <w:p w14:paraId="37A21318" w14:textId="77777777" w:rsidR="0062159B" w:rsidRDefault="0062159B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11" w:type="pct"/>
            <w:tcBorders>
              <w:top w:val="single" w:sz="12" w:space="0" w:color="76979C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FFFFCC"/>
            <w:vAlign w:val="center"/>
          </w:tcPr>
          <w:p w14:paraId="5FC35F7A" w14:textId="77777777" w:rsidR="0062159B" w:rsidRDefault="0062159B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6" w:type="pct"/>
            <w:tcBorders>
              <w:top w:val="single" w:sz="12" w:space="0" w:color="76979C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FFFFCC"/>
            <w:vAlign w:val="center"/>
          </w:tcPr>
          <w:p w14:paraId="6532AA67" w14:textId="77777777" w:rsidR="0062159B" w:rsidRDefault="0062159B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46" w:type="pct"/>
            <w:tcBorders>
              <w:top w:val="single" w:sz="12" w:space="0" w:color="76979C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FFFFCC"/>
            <w:vAlign w:val="center"/>
          </w:tcPr>
          <w:p w14:paraId="63C01E83" w14:textId="77777777" w:rsidR="0062159B" w:rsidRDefault="0062159B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67" w:type="pct"/>
            <w:tcBorders>
              <w:top w:val="single" w:sz="12" w:space="0" w:color="76979C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FFFFCC"/>
            <w:vAlign w:val="center"/>
          </w:tcPr>
          <w:p w14:paraId="5C5F7369" w14:textId="77777777" w:rsidR="0062159B" w:rsidRDefault="0062159B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single" w:sz="12" w:space="0" w:color="76979C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FFFFCC"/>
            <w:vAlign w:val="center"/>
          </w:tcPr>
          <w:p w14:paraId="54DB6B98" w14:textId="77777777" w:rsidR="0062159B" w:rsidRDefault="0062159B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219" w:type="pct"/>
            <w:tcBorders>
              <w:top w:val="single" w:sz="12" w:space="0" w:color="76979C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FFFFCC"/>
            <w:vAlign w:val="center"/>
          </w:tcPr>
          <w:p w14:paraId="00BB8801" w14:textId="77777777" w:rsidR="0062159B" w:rsidRDefault="0062159B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80" w:type="pct"/>
            <w:tcBorders>
              <w:top w:val="single" w:sz="12" w:space="0" w:color="76979C"/>
              <w:left w:val="single" w:sz="12" w:space="0" w:color="80A1B6"/>
              <w:bottom w:val="single" w:sz="12" w:space="0" w:color="80A1B6"/>
              <w:right w:val="single" w:sz="12" w:space="0" w:color="80A1B6"/>
            </w:tcBorders>
            <w:shd w:val="clear" w:color="auto" w:fill="FFFFCC"/>
            <w:vAlign w:val="center"/>
          </w:tcPr>
          <w:p w14:paraId="355D436A" w14:textId="77777777" w:rsidR="0062159B" w:rsidRDefault="0062159B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50" w:type="pct"/>
            <w:tcBorders>
              <w:top w:val="single" w:sz="12" w:space="0" w:color="76979C"/>
              <w:left w:val="single" w:sz="12" w:space="0" w:color="80A1B6"/>
              <w:bottom w:val="single" w:sz="12" w:space="0" w:color="80A1B6"/>
              <w:right w:val="single" w:sz="12" w:space="0" w:color="76979C"/>
            </w:tcBorders>
            <w:shd w:val="clear" w:color="auto" w:fill="FFFFCC"/>
            <w:vAlign w:val="center"/>
          </w:tcPr>
          <w:p w14:paraId="55F00410" w14:textId="77777777" w:rsidR="0062159B" w:rsidRDefault="0062159B" w:rsidP="008F55D1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</w:pPr>
          </w:p>
        </w:tc>
        <w:tc>
          <w:tcPr>
            <w:tcW w:w="197" w:type="pct"/>
            <w:tcBorders>
              <w:top w:val="single" w:sz="12" w:space="0" w:color="76979C"/>
              <w:left w:val="single" w:sz="12" w:space="0" w:color="76979C"/>
              <w:bottom w:val="single" w:sz="12" w:space="0" w:color="76979C"/>
              <w:right w:val="single" w:sz="12" w:space="0" w:color="76979C"/>
            </w:tcBorders>
            <w:shd w:val="clear" w:color="auto" w:fill="FF9966"/>
          </w:tcPr>
          <w:p w14:paraId="73D8B4E3" w14:textId="77777777" w:rsidR="0062159B" w:rsidRDefault="001672DF" w:rsidP="001672DF">
            <w:pPr>
              <w:spacing w:after="0" w:line="240" w:lineRule="auto"/>
              <w:jc w:val="center"/>
              <w:rPr>
                <w:rFonts w:ascii="Arial" w:eastAsia="Arial,Times New Roman" w:hAnsi="Arial" w:cs="Arial"/>
                <w:b/>
                <w:bCs/>
                <w:color w:val="365F91"/>
                <w:sz w:val="14"/>
                <w:szCs w:val="16"/>
                <w:lang w:eastAsia="cs-CZ"/>
              </w:rPr>
            </w:pPr>
            <w:r w:rsidRPr="001672DF">
              <w:rPr>
                <w:rFonts w:ascii="Arial" w:eastAsia="Arial,Times New Roman" w:hAnsi="Arial" w:cs="Arial"/>
                <w:b/>
                <w:bCs/>
                <w:color w:val="365F91"/>
                <w:sz w:val="14"/>
                <w:szCs w:val="16"/>
                <w:lang w:eastAsia="cs-CZ"/>
              </w:rPr>
              <w:t>Kontrolní součet</w:t>
            </w:r>
            <w:r>
              <w:rPr>
                <w:rFonts w:ascii="Arial" w:eastAsia="Arial,Times New Roman" w:hAnsi="Arial" w:cs="Arial"/>
                <w:b/>
                <w:bCs/>
                <w:color w:val="365F91"/>
                <w:sz w:val="14"/>
                <w:szCs w:val="16"/>
                <w:lang w:eastAsia="cs-CZ"/>
              </w:rPr>
              <w:t xml:space="preserve"> mobilit</w:t>
            </w:r>
            <w:r w:rsidRPr="001672DF">
              <w:rPr>
                <w:rFonts w:ascii="Arial" w:eastAsia="Arial,Times New Roman" w:hAnsi="Arial" w:cs="Arial"/>
                <w:b/>
                <w:bCs/>
                <w:color w:val="365F91"/>
                <w:sz w:val="14"/>
                <w:szCs w:val="16"/>
                <w:lang w:eastAsia="cs-CZ"/>
              </w:rPr>
              <w:t>:</w:t>
            </w:r>
          </w:p>
          <w:p w14:paraId="5BA04D2B" w14:textId="77777777" w:rsidR="00FA0AA7" w:rsidRPr="00FA0AA7" w:rsidRDefault="00FA0AA7" w:rsidP="001672DF">
            <w:pPr>
              <w:spacing w:after="0" w:line="240" w:lineRule="auto"/>
              <w:jc w:val="center"/>
              <w:rPr>
                <w:rFonts w:asciiTheme="minorHAnsi" w:eastAsia="Arial,Times New Roman" w:hAnsiTheme="minorHAnsi" w:cs="Arial"/>
                <w:b/>
                <w:bCs/>
                <w:color w:val="365F91" w:themeColor="accent1" w:themeShade="BF"/>
                <w:szCs w:val="24"/>
                <w:lang w:eastAsia="cs-CZ"/>
              </w:rPr>
            </w:pPr>
          </w:p>
        </w:tc>
      </w:tr>
    </w:tbl>
    <w:bookmarkEnd w:id="2" w:displacedByCustomXml="next"/>
    <w:sdt>
      <w:sdtPr>
        <w:rPr>
          <w:sz w:val="18"/>
          <w:szCs w:val="18"/>
        </w:rPr>
        <w:id w:val="183413231"/>
        <w:lock w:val="contentLocked"/>
        <w:group/>
      </w:sdtPr>
      <w:sdtEndPr/>
      <w:sdtContent>
        <w:p w14:paraId="0BB02C44" w14:textId="77777777" w:rsidR="003879C6" w:rsidRPr="00DD3926" w:rsidRDefault="003879C6" w:rsidP="008F55D1">
          <w:pPr>
            <w:rPr>
              <w:lang w:eastAsia="cs-CZ" w:bidi="ar-SA"/>
            </w:rPr>
          </w:pPr>
          <w:r w:rsidRPr="00DD3926">
            <w:rPr>
              <w:sz w:val="18"/>
              <w:szCs w:val="18"/>
            </w:rPr>
            <w:t>Zdroj: Úřad vlády ČR (2016): Národní výzkumná a inovační strategie inteligentní specializace České republiky</w:t>
          </w:r>
          <w:r>
            <w:rPr>
              <w:sz w:val="18"/>
              <w:szCs w:val="18"/>
            </w:rPr>
            <w:t xml:space="preserve"> (aktualizovaná verze); Úřad vlády ČR (2016): Podkladový analytický materiál – Podklad k naplňování NP VaVaI 2016-2020 a k zaměření vertikalizace ESIF a NP v kontextu RIS3</w:t>
          </w:r>
        </w:p>
      </w:sdtContent>
    </w:sdt>
    <w:p w14:paraId="009EE487" w14:textId="77777777" w:rsidR="003879C6" w:rsidRDefault="003879C6" w:rsidP="008F55D1">
      <w:pPr>
        <w:pStyle w:val="Textpoznpodarou"/>
        <w:rPr>
          <w:sz w:val="18"/>
          <w:szCs w:val="18"/>
        </w:rPr>
        <w:sectPr w:rsidR="003879C6" w:rsidSect="00D35BB6">
          <w:headerReference w:type="default" r:id="rId15"/>
          <w:footerReference w:type="default" r:id="rId16"/>
          <w:pgSz w:w="23814" w:h="16839" w:orient="landscape" w:code="8"/>
          <w:pgMar w:top="1418" w:right="2240" w:bottom="1418" w:left="992" w:header="709" w:footer="0" w:gutter="0"/>
          <w:cols w:space="708"/>
          <w:docGrid w:linePitch="326" w:charSpace="32768"/>
        </w:sectPr>
      </w:pPr>
    </w:p>
    <w:p w14:paraId="6AB1CEE1" w14:textId="77777777" w:rsidR="003879C6" w:rsidRPr="008B567A" w:rsidRDefault="003879C6" w:rsidP="00583D14">
      <w:pPr>
        <w:pStyle w:val="Styl2"/>
        <w:numPr>
          <w:ilvl w:val="0"/>
          <w:numId w:val="3"/>
        </w:numPr>
      </w:pPr>
      <w:r w:rsidRPr="008B567A">
        <w:lastRenderedPageBreak/>
        <w:t>Označení kraje relevantního vzhledem k místu realizace předkládaného projektu</w:t>
      </w:r>
    </w:p>
    <w:p w14:paraId="425A84A7" w14:textId="0287CA2B" w:rsidR="003879C6" w:rsidRPr="008B567A" w:rsidRDefault="003879C6" w:rsidP="008F55D1">
      <w:pPr>
        <w:pStyle w:val="Nadpis4"/>
        <w:numPr>
          <w:ilvl w:val="0"/>
          <w:numId w:val="0"/>
        </w:numPr>
        <w:spacing w:before="0" w:after="120"/>
        <w:jc w:val="both"/>
        <w:rPr>
          <w:rFonts w:asciiTheme="minorHAnsi" w:eastAsia="Arial" w:hAnsiTheme="minorHAnsi" w:cs="Arial"/>
          <w:b w:val="0"/>
          <w:color w:val="auto"/>
          <w:lang w:eastAsia="cs-CZ"/>
        </w:rPr>
      </w:pP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V případě, že je projekt předkládán v souladu s</w:t>
      </w:r>
      <w:r w:rsidR="00103FFC">
        <w:rPr>
          <w:rFonts w:asciiTheme="minorHAnsi" w:eastAsia="Arial" w:hAnsiTheme="minorHAnsi" w:cs="Arial"/>
          <w:b w:val="0"/>
          <w:color w:val="auto"/>
          <w:lang w:eastAsia="cs-CZ"/>
        </w:rPr>
        <w:t xml:space="preserve"> některou 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krajsky specifickou oblastí specializace</w:t>
      </w:r>
      <w:r w:rsidR="00103FFC">
        <w:rPr>
          <w:rFonts w:asciiTheme="minorHAnsi" w:eastAsia="Arial" w:hAnsiTheme="minorHAnsi" w:cs="Arial"/>
          <w:b w:val="0"/>
          <w:color w:val="auto"/>
          <w:lang w:eastAsia="cs-CZ"/>
        </w:rPr>
        <w:t xml:space="preserve"> (konkrétně s krajsky specifickým aplikačním odvětvím/tématem)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, Žadatel v texto</w:t>
      </w:r>
      <w:r w:rsidR="00103FFC">
        <w:rPr>
          <w:rFonts w:asciiTheme="minorHAnsi" w:eastAsia="Arial" w:hAnsiTheme="minorHAnsi" w:cs="Arial"/>
          <w:b w:val="0"/>
          <w:color w:val="auto"/>
          <w:lang w:eastAsia="cs-CZ"/>
        </w:rPr>
        <w:t xml:space="preserve">vém poli uvede daný kraj/kraje </w:t>
      </w:r>
      <w:r w:rsidR="00EE5C7F">
        <w:rPr>
          <w:rFonts w:asciiTheme="minorHAnsi" w:eastAsia="Arial" w:hAnsiTheme="minorHAnsi" w:cs="Arial"/>
          <w:b w:val="0"/>
          <w:color w:val="auto"/>
          <w:lang w:eastAsia="cs-CZ"/>
        </w:rPr>
        <w:t>a dané krajsky specifické aplikační odvětví</w:t>
      </w:r>
      <w:r w:rsidR="004907D1">
        <w:rPr>
          <w:rFonts w:asciiTheme="minorHAnsi" w:eastAsia="Arial" w:hAnsiTheme="minorHAnsi" w:cs="Arial"/>
          <w:b w:val="0"/>
          <w:color w:val="auto"/>
          <w:lang w:eastAsia="cs-CZ"/>
        </w:rPr>
        <w:t>/téma</w:t>
      </w:r>
      <w:r w:rsidR="00EE5C7F">
        <w:rPr>
          <w:rFonts w:asciiTheme="minorHAnsi" w:eastAsia="Arial" w:hAnsiTheme="minorHAnsi" w:cs="Arial"/>
          <w:b w:val="0"/>
          <w:color w:val="auto"/>
          <w:lang w:eastAsia="cs-CZ"/>
        </w:rPr>
        <w:t xml:space="preserve"> </w:t>
      </w:r>
      <w:r w:rsidR="00103FFC">
        <w:rPr>
          <w:rFonts w:asciiTheme="minorHAnsi" w:eastAsia="Arial" w:hAnsiTheme="minorHAnsi" w:cs="Arial"/>
          <w:b w:val="0"/>
          <w:color w:val="auto"/>
          <w:lang w:eastAsia="cs-CZ"/>
        </w:rPr>
        <w:t xml:space="preserve">- 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za podmínky prokazatelné relevance kraje vzhl</w:t>
      </w:r>
      <w:r w:rsidR="00103FFC">
        <w:rPr>
          <w:rFonts w:asciiTheme="minorHAnsi" w:eastAsia="Arial" w:hAnsiTheme="minorHAnsi" w:cs="Arial"/>
          <w:b w:val="0"/>
          <w:color w:val="auto"/>
          <w:lang w:eastAsia="cs-CZ"/>
        </w:rPr>
        <w:t>edem k místu realizace</w:t>
      </w:r>
      <w:r w:rsidR="00EE5C7F">
        <w:rPr>
          <w:rFonts w:asciiTheme="minorHAnsi" w:eastAsia="Arial" w:hAnsiTheme="minorHAnsi" w:cs="Arial"/>
          <w:b w:val="0"/>
          <w:color w:val="auto"/>
          <w:lang w:eastAsia="cs-CZ"/>
        </w:rPr>
        <w:t>/dopadu</w:t>
      </w:r>
      <w:r w:rsidR="00103FFC">
        <w:rPr>
          <w:rFonts w:asciiTheme="minorHAnsi" w:eastAsia="Arial" w:hAnsiTheme="minorHAnsi" w:cs="Arial"/>
          <w:b w:val="0"/>
          <w:color w:val="auto"/>
          <w:lang w:eastAsia="cs-CZ"/>
        </w:rPr>
        <w:t xml:space="preserve"> projektu</w:t>
      </w:r>
      <w:r w:rsidRPr="008B567A">
        <w:rPr>
          <w:rFonts w:asciiTheme="minorHAnsi" w:eastAsia="Arial" w:hAnsiTheme="minorHAnsi" w:cs="Arial"/>
          <w:b w:val="0"/>
          <w:color w:val="auto"/>
          <w:lang w:eastAsia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879C6" w14:paraId="7D246DDD" w14:textId="77777777" w:rsidTr="008F55D1">
        <w:tc>
          <w:tcPr>
            <w:tcW w:w="9212" w:type="dxa"/>
          </w:tcPr>
          <w:p w14:paraId="687ABC19" w14:textId="77777777" w:rsidR="003879C6" w:rsidRDefault="003879C6" w:rsidP="008F55D1">
            <w:pPr>
              <w:jc w:val="both"/>
              <w:rPr>
                <w:lang w:eastAsia="en-US" w:bidi="ar-SA"/>
              </w:rPr>
            </w:pPr>
          </w:p>
          <w:p w14:paraId="478F0B49" w14:textId="77777777" w:rsidR="00EE5C7F" w:rsidRDefault="00EE5C7F" w:rsidP="008F55D1">
            <w:pPr>
              <w:jc w:val="both"/>
              <w:rPr>
                <w:lang w:eastAsia="en-US" w:bidi="ar-SA"/>
              </w:rPr>
            </w:pPr>
          </w:p>
          <w:p w14:paraId="259FC3BA" w14:textId="77777777" w:rsidR="00EE5C7F" w:rsidRDefault="00EE5C7F" w:rsidP="008F55D1">
            <w:pPr>
              <w:jc w:val="both"/>
              <w:rPr>
                <w:lang w:eastAsia="en-US" w:bidi="ar-SA"/>
              </w:rPr>
            </w:pPr>
          </w:p>
        </w:tc>
      </w:tr>
    </w:tbl>
    <w:p w14:paraId="7997B96F" w14:textId="77777777" w:rsidR="008B73D0" w:rsidRDefault="008B73D0"/>
    <w:sectPr w:rsidR="008B73D0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55419" w14:textId="77777777" w:rsidR="00874AAB" w:rsidRDefault="00874AAB" w:rsidP="003879C6">
      <w:pPr>
        <w:spacing w:after="0" w:line="240" w:lineRule="auto"/>
      </w:pPr>
      <w:r>
        <w:separator/>
      </w:r>
    </w:p>
  </w:endnote>
  <w:endnote w:type="continuationSeparator" w:id="0">
    <w:p w14:paraId="439082B9" w14:textId="77777777" w:rsidR="00874AAB" w:rsidRDefault="00874AAB" w:rsidP="0038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70440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6A19A64" w14:textId="77777777" w:rsidR="003879C6" w:rsidRPr="001D4C53" w:rsidRDefault="003879C6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61312" behindDoc="1" locked="1" layoutInCell="1" allowOverlap="0" wp14:anchorId="20D7E031" wp14:editId="14C07A1E">
              <wp:simplePos x="0" y="0"/>
              <wp:positionH relativeFrom="margin">
                <wp:posOffset>833120</wp:posOffset>
              </wp:positionH>
              <wp:positionV relativeFrom="paragraph">
                <wp:posOffset>-292100</wp:posOffset>
              </wp:positionV>
              <wp:extent cx="4661535" cy="1033145"/>
              <wp:effectExtent l="0" t="0" r="5715" b="0"/>
              <wp:wrapNone/>
              <wp:docPr id="7" name="Obrázek 7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AD6E2A">
          <w:rPr>
            <w:rFonts w:asciiTheme="minorHAnsi" w:hAnsiTheme="minorHAnsi"/>
            <w:noProof/>
          </w:rPr>
          <w:t>1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14:paraId="20ACAFAB" w14:textId="77777777" w:rsidR="003879C6" w:rsidRDefault="003879C6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14:paraId="1BDC0116" w14:textId="77777777" w:rsidR="003879C6" w:rsidRPr="003F5D09" w:rsidRDefault="003879C6" w:rsidP="003F5D09">
    <w:pPr>
      <w:pStyle w:val="Zpat"/>
      <w:jc w:val="right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8671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75DF57B" w14:textId="77777777" w:rsidR="003879C6" w:rsidRPr="001D4C53" w:rsidRDefault="003879C6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62336" behindDoc="1" locked="1" layoutInCell="1" allowOverlap="0" wp14:anchorId="5E49D422" wp14:editId="515C07B9">
              <wp:simplePos x="0" y="0"/>
              <wp:positionH relativeFrom="margin">
                <wp:posOffset>5119370</wp:posOffset>
              </wp:positionH>
              <wp:positionV relativeFrom="paragraph">
                <wp:posOffset>-339725</wp:posOffset>
              </wp:positionV>
              <wp:extent cx="4661535" cy="1033145"/>
              <wp:effectExtent l="0" t="0" r="5715" b="0"/>
              <wp:wrapNone/>
              <wp:docPr id="12" name="Obrázek 1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AD6E2A">
          <w:rPr>
            <w:rFonts w:asciiTheme="minorHAnsi" w:hAnsiTheme="minorHAnsi"/>
            <w:noProof/>
          </w:rPr>
          <w:t>3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14:paraId="6A9F6505" w14:textId="77777777" w:rsidR="003879C6" w:rsidRDefault="003879C6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14:paraId="7FF35C09" w14:textId="77777777" w:rsidR="003879C6" w:rsidRPr="003F5D09" w:rsidRDefault="003879C6" w:rsidP="003F5D09">
    <w:pPr>
      <w:pStyle w:val="Zpat"/>
      <w:jc w:val="right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43412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404DDB3E" w14:textId="77777777" w:rsidR="00103FFC" w:rsidRPr="001D4C53" w:rsidRDefault="00103FFC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66432" behindDoc="1" locked="1" layoutInCell="1" allowOverlap="0" wp14:anchorId="7F73A200" wp14:editId="121AE00D">
              <wp:simplePos x="0" y="0"/>
              <wp:positionH relativeFrom="margin">
                <wp:posOffset>852170</wp:posOffset>
              </wp:positionH>
              <wp:positionV relativeFrom="paragraph">
                <wp:posOffset>-53975</wp:posOffset>
              </wp:positionV>
              <wp:extent cx="4661535" cy="1033145"/>
              <wp:effectExtent l="0" t="0" r="5715" b="0"/>
              <wp:wrapNone/>
              <wp:docPr id="15" name="Obrázek 15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AD6E2A">
          <w:rPr>
            <w:rFonts w:asciiTheme="minorHAnsi" w:hAnsiTheme="minorHAnsi"/>
            <w:noProof/>
          </w:rPr>
          <w:t>4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14:paraId="05E0B53D" w14:textId="77777777" w:rsidR="00103FFC" w:rsidRDefault="00103FFC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14:paraId="1895A53A" w14:textId="77777777" w:rsidR="00103FFC" w:rsidRPr="003F5D09" w:rsidRDefault="00103FFC" w:rsidP="003F5D09">
    <w:pPr>
      <w:pStyle w:val="Zpat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D0927" w14:textId="77777777" w:rsidR="00874AAB" w:rsidRDefault="00874AAB" w:rsidP="003879C6">
      <w:pPr>
        <w:spacing w:after="0" w:line="240" w:lineRule="auto"/>
      </w:pPr>
      <w:r>
        <w:separator/>
      </w:r>
    </w:p>
  </w:footnote>
  <w:footnote w:type="continuationSeparator" w:id="0">
    <w:p w14:paraId="328F6020" w14:textId="77777777" w:rsidR="00874AAB" w:rsidRDefault="00874AAB" w:rsidP="003879C6">
      <w:pPr>
        <w:spacing w:after="0" w:line="240" w:lineRule="auto"/>
      </w:pPr>
      <w:r>
        <w:continuationSeparator/>
      </w:r>
    </w:p>
  </w:footnote>
  <w:footnote w:id="1">
    <w:p w14:paraId="7E655A6C" w14:textId="3BC1150D" w:rsidR="00836B58" w:rsidRDefault="00836B58" w:rsidP="00EB16E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Např. Karta aplikačního odvětví 2.1.1 „Strojírenství – mechatronika“ začíná na str. 17 Podkladového materiálu a je doplněna přílohou (subkapitolou) 2.1.1.1 „Příloha Národní RIS3 – Strojírenství – mechatronika“ začínající na str. 19 Podkladového materiálu.</w:t>
      </w:r>
    </w:p>
  </w:footnote>
  <w:footnote w:id="2">
    <w:p w14:paraId="3923ADA4" w14:textId="4BD2EE2C" w:rsidR="0038431F" w:rsidRPr="00EB16E8" w:rsidRDefault="0038431F" w:rsidP="00EB16E8">
      <w:pPr>
        <w:pStyle w:val="Textpoznpodarou"/>
        <w:jc w:val="both"/>
        <w:rPr>
          <w:sz w:val="18"/>
          <w:szCs w:val="18"/>
        </w:rPr>
      </w:pPr>
      <w:r w:rsidRPr="00EB16E8">
        <w:rPr>
          <w:rStyle w:val="Znakapoznpodarou"/>
          <w:sz w:val="18"/>
          <w:szCs w:val="18"/>
        </w:rPr>
        <w:footnoteRef/>
      </w:r>
      <w:r w:rsidRPr="00EB16E8">
        <w:rPr>
          <w:sz w:val="18"/>
          <w:szCs w:val="18"/>
        </w:rPr>
        <w:t xml:space="preserve"> Uváděné počty mohou být předmětem</w:t>
      </w:r>
      <w:r w:rsidR="0045596C" w:rsidRPr="00EB16E8">
        <w:rPr>
          <w:sz w:val="18"/>
          <w:szCs w:val="18"/>
        </w:rPr>
        <w:t xml:space="preserve"> změn v průběhu projektu. Pro potřeby monitorování implementace Národní RIS3 strategie bude </w:t>
      </w:r>
      <w:r w:rsidR="00E34FE0" w:rsidRPr="00EB16E8">
        <w:rPr>
          <w:sz w:val="18"/>
          <w:szCs w:val="18"/>
        </w:rPr>
        <w:t>Ž</w:t>
      </w:r>
      <w:r w:rsidR="0045596C" w:rsidRPr="00EB16E8">
        <w:rPr>
          <w:sz w:val="18"/>
          <w:szCs w:val="18"/>
        </w:rPr>
        <w:t xml:space="preserve">adatel vyzván k opětovnému vyplnění Vertikalizační matice a promítnutí veškerých změn při odevzdání </w:t>
      </w:r>
      <w:r w:rsidR="00B72E64" w:rsidRPr="00EB16E8">
        <w:rPr>
          <w:sz w:val="18"/>
          <w:szCs w:val="18"/>
        </w:rPr>
        <w:t>druhé Zprávy o realizac</w:t>
      </w:r>
      <w:r w:rsidR="00B75EBC" w:rsidRPr="00EB16E8">
        <w:rPr>
          <w:sz w:val="18"/>
          <w:szCs w:val="18"/>
        </w:rPr>
        <w:t>i</w:t>
      </w:r>
      <w:r w:rsidR="00B72E64" w:rsidRPr="00EB16E8">
        <w:rPr>
          <w:sz w:val="18"/>
          <w:szCs w:val="18"/>
        </w:rPr>
        <w:t xml:space="preserve"> a </w:t>
      </w:r>
      <w:r w:rsidR="0045596C" w:rsidRPr="00EB16E8">
        <w:rPr>
          <w:sz w:val="18"/>
          <w:szCs w:val="18"/>
        </w:rPr>
        <w:t>závěrečné Zprávy o realizaci projektu.</w:t>
      </w:r>
    </w:p>
  </w:footnote>
  <w:footnote w:id="3">
    <w:p w14:paraId="2C12048D" w14:textId="77777777" w:rsidR="0062159B" w:rsidRPr="00EB16E8" w:rsidRDefault="0062159B" w:rsidP="00EB16E8">
      <w:pPr>
        <w:pStyle w:val="Textpoznpodarou"/>
        <w:jc w:val="both"/>
        <w:rPr>
          <w:sz w:val="18"/>
          <w:szCs w:val="18"/>
        </w:rPr>
      </w:pPr>
      <w:r w:rsidRPr="00EB16E8">
        <w:rPr>
          <w:rStyle w:val="Znakapoznpodarou"/>
          <w:sz w:val="18"/>
          <w:szCs w:val="18"/>
        </w:rPr>
        <w:footnoteRef/>
      </w:r>
      <w:r w:rsidRPr="00EB16E8">
        <w:rPr>
          <w:sz w:val="18"/>
          <w:szCs w:val="18"/>
        </w:rPr>
        <w:t xml:space="preserve"> Jednotlivá aplikační odvětví/témata se ve většině případů rozpadají na několik samostatných podtémat, která jsou podrobně předmětem kapitol 2.1.1-2.7.3 (resp. 2.8.5. – včetně krajsky specifických aplikačních odvětví/témat) </w:t>
      </w:r>
      <w:r w:rsidR="007202A6" w:rsidRPr="00EB16E8">
        <w:rPr>
          <w:sz w:val="18"/>
          <w:szCs w:val="18"/>
        </w:rPr>
        <w:t>Podkladového</w:t>
      </w:r>
      <w:r w:rsidR="007F3D3F" w:rsidRPr="00EB16E8">
        <w:rPr>
          <w:sz w:val="18"/>
          <w:szCs w:val="18"/>
        </w:rPr>
        <w:t xml:space="preserve"> </w:t>
      </w:r>
      <w:r w:rsidR="007202A6" w:rsidRPr="00EB16E8">
        <w:rPr>
          <w:sz w:val="18"/>
          <w:szCs w:val="18"/>
        </w:rPr>
        <w:t>materiálu pro implementaci Národní RIS3 strategie</w:t>
      </w:r>
      <w:r w:rsidR="00103FFC" w:rsidRPr="00EB16E8">
        <w:rPr>
          <w:sz w:val="18"/>
          <w:szCs w:val="18"/>
        </w:rPr>
        <w:t>.</w:t>
      </w:r>
    </w:p>
  </w:footnote>
  <w:footnote w:id="4">
    <w:p w14:paraId="4A45670B" w14:textId="77777777" w:rsidR="0062159B" w:rsidRPr="00EB16E8" w:rsidRDefault="0062159B" w:rsidP="00EB16E8">
      <w:pPr>
        <w:pStyle w:val="Textpoznpodarou"/>
        <w:jc w:val="both"/>
        <w:rPr>
          <w:sz w:val="18"/>
          <w:szCs w:val="18"/>
        </w:rPr>
      </w:pPr>
      <w:r w:rsidRPr="00EB16E8">
        <w:rPr>
          <w:rStyle w:val="Znakapoznpodarou"/>
          <w:sz w:val="18"/>
          <w:szCs w:val="18"/>
        </w:rPr>
        <w:footnoteRef/>
      </w:r>
      <w:r w:rsidRPr="00EB16E8">
        <w:rPr>
          <w:sz w:val="18"/>
          <w:szCs w:val="18"/>
        </w:rPr>
        <w:t xml:space="preserve"> Více informací k jednotlivým krajsky specifickým oblastem specializace viz kap. 2.8 </w:t>
      </w:r>
      <w:r w:rsidR="007F3D3F" w:rsidRPr="00EB16E8">
        <w:rPr>
          <w:sz w:val="18"/>
          <w:szCs w:val="18"/>
        </w:rPr>
        <w:t>Podkladového materiálu</w:t>
      </w:r>
      <w:r w:rsidRPr="00EB16E8">
        <w:rPr>
          <w:sz w:val="18"/>
          <w:szCs w:val="18"/>
        </w:rPr>
        <w:t>.</w:t>
      </w:r>
    </w:p>
  </w:footnote>
  <w:footnote w:id="5">
    <w:p w14:paraId="7ED94E22" w14:textId="77777777" w:rsidR="006B3870" w:rsidRDefault="006B3870" w:rsidP="00EB16E8">
      <w:pPr>
        <w:pStyle w:val="Textpoznpodarou"/>
        <w:jc w:val="both"/>
      </w:pPr>
      <w:r w:rsidRPr="00EB16E8">
        <w:rPr>
          <w:rStyle w:val="Znakapoznpodarou"/>
          <w:sz w:val="18"/>
          <w:szCs w:val="18"/>
        </w:rPr>
        <w:footnoteRef/>
      </w:r>
      <w:r w:rsidRPr="00EB16E8">
        <w:rPr>
          <w:sz w:val="18"/>
          <w:szCs w:val="18"/>
        </w:rPr>
        <w:t xml:space="preserve"> Generické znalostní domény jsou blíže popsány v kapitole 1.2.3 </w:t>
      </w:r>
      <w:r w:rsidR="00103FFC" w:rsidRPr="00EB16E8">
        <w:rPr>
          <w:sz w:val="18"/>
          <w:szCs w:val="18"/>
        </w:rPr>
        <w:t>Podkladového materiálu.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607F3" w14:textId="77777777" w:rsidR="003879C6" w:rsidRDefault="003879C6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60288" behindDoc="0" locked="1" layoutInCell="1" allowOverlap="0" wp14:anchorId="4CC630D9" wp14:editId="6A4CD6C3">
          <wp:simplePos x="0" y="0"/>
          <wp:positionH relativeFrom="page">
            <wp:posOffset>180975</wp:posOffset>
          </wp:positionH>
          <wp:positionV relativeFrom="topMargin">
            <wp:posOffset>332740</wp:posOffset>
          </wp:positionV>
          <wp:extent cx="7199630" cy="503555"/>
          <wp:effectExtent l="0" t="0" r="127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DC85A" w14:textId="77777777" w:rsidR="003879C6" w:rsidRDefault="003879C6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59264" behindDoc="0" locked="1" layoutInCell="1" allowOverlap="0" wp14:anchorId="37197ADC" wp14:editId="678B18F8">
          <wp:simplePos x="0" y="0"/>
          <wp:positionH relativeFrom="page">
            <wp:posOffset>2253615</wp:posOffset>
          </wp:positionH>
          <wp:positionV relativeFrom="topMargin">
            <wp:posOffset>333375</wp:posOffset>
          </wp:positionV>
          <wp:extent cx="10331450" cy="50355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02990" w14:textId="77777777" w:rsidR="00103FFC" w:rsidRDefault="00103FFC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64384" behindDoc="0" locked="1" layoutInCell="1" allowOverlap="0" wp14:anchorId="52A12936" wp14:editId="0BB6D0C4">
          <wp:simplePos x="0" y="0"/>
          <wp:positionH relativeFrom="page">
            <wp:posOffset>200025</wp:posOffset>
          </wp:positionH>
          <wp:positionV relativeFrom="topMargin">
            <wp:posOffset>323215</wp:posOffset>
          </wp:positionV>
          <wp:extent cx="7199630" cy="503555"/>
          <wp:effectExtent l="0" t="0" r="127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9B0"/>
    <w:multiLevelType w:val="hybridMultilevel"/>
    <w:tmpl w:val="B504D84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E0C22AA"/>
    <w:multiLevelType w:val="multilevel"/>
    <w:tmpl w:val="95EAD1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1997" w:hanging="720"/>
      </w:pPr>
      <w:rPr>
        <w:rFonts w:ascii="Arial" w:hAnsi="Arial" w:cs="Arial" w:hint="default"/>
        <w:b/>
        <w:color w:val="365F91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ascii="Arial" w:hAnsi="Arial" w:cs="Arial" w:hint="default"/>
        <w:b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907663C"/>
    <w:multiLevelType w:val="hybridMultilevel"/>
    <w:tmpl w:val="851629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C6"/>
    <w:rsid w:val="00103FFC"/>
    <w:rsid w:val="001672DF"/>
    <w:rsid w:val="001B5237"/>
    <w:rsid w:val="00257316"/>
    <w:rsid w:val="00277944"/>
    <w:rsid w:val="00317766"/>
    <w:rsid w:val="0038431F"/>
    <w:rsid w:val="003879C6"/>
    <w:rsid w:val="00397C21"/>
    <w:rsid w:val="003E11D6"/>
    <w:rsid w:val="0045596C"/>
    <w:rsid w:val="004907D1"/>
    <w:rsid w:val="00583D14"/>
    <w:rsid w:val="0059279B"/>
    <w:rsid w:val="005B0C77"/>
    <w:rsid w:val="005D3C43"/>
    <w:rsid w:val="005F5F9F"/>
    <w:rsid w:val="0062159B"/>
    <w:rsid w:val="00631B1C"/>
    <w:rsid w:val="006A2351"/>
    <w:rsid w:val="006B3870"/>
    <w:rsid w:val="007202A6"/>
    <w:rsid w:val="00755951"/>
    <w:rsid w:val="007A3AC8"/>
    <w:rsid w:val="007F3D3F"/>
    <w:rsid w:val="00836B58"/>
    <w:rsid w:val="0087170E"/>
    <w:rsid w:val="00874AAB"/>
    <w:rsid w:val="008B73D0"/>
    <w:rsid w:val="009357D3"/>
    <w:rsid w:val="009B1D32"/>
    <w:rsid w:val="00AA0A9F"/>
    <w:rsid w:val="00AB60AA"/>
    <w:rsid w:val="00AD6E2A"/>
    <w:rsid w:val="00B028E7"/>
    <w:rsid w:val="00B72E64"/>
    <w:rsid w:val="00B75EBC"/>
    <w:rsid w:val="00BA3403"/>
    <w:rsid w:val="00BF1EAB"/>
    <w:rsid w:val="00C221ED"/>
    <w:rsid w:val="00D0690B"/>
    <w:rsid w:val="00D423E1"/>
    <w:rsid w:val="00E06885"/>
    <w:rsid w:val="00E34FE0"/>
    <w:rsid w:val="00EB16E8"/>
    <w:rsid w:val="00EE5C7F"/>
    <w:rsid w:val="00F0597A"/>
    <w:rsid w:val="00F36314"/>
    <w:rsid w:val="00F43E73"/>
    <w:rsid w:val="00FA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38B1"/>
  <w15:docId w15:val="{F83BFF8B-2D39-4D1F-81B1-25BC9977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79C6"/>
    <w:pPr>
      <w:suppressAutoHyphens/>
    </w:pPr>
    <w:rPr>
      <w:rFonts w:ascii="Calibri" w:eastAsia="Calibri" w:hAnsi="Calibri" w:cs="Calibri"/>
      <w:color w:val="000000"/>
      <w:kern w:val="1"/>
      <w:sz w:val="24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3879C6"/>
    <w:pPr>
      <w:keepNext/>
      <w:keepLines/>
      <w:suppressAutoHyphens w:val="0"/>
      <w:jc w:val="both"/>
      <w:outlineLvl w:val="0"/>
    </w:pPr>
    <w:rPr>
      <w:rFonts w:asciiTheme="minorHAnsi" w:eastAsiaTheme="majorEastAsia" w:hAnsiTheme="minorHAnsi" w:cstheme="majorBidi"/>
      <w:b/>
      <w:bCs/>
      <w:color w:val="003399"/>
      <w:kern w:val="0"/>
      <w:sz w:val="28"/>
      <w:szCs w:val="28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79C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879C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79C6"/>
    <w:pPr>
      <w:keepNext/>
      <w:keepLines/>
      <w:numPr>
        <w:ilvl w:val="3"/>
        <w:numId w:val="1"/>
      </w:numPr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9C6"/>
    <w:pPr>
      <w:keepNext/>
      <w:keepLines/>
      <w:numPr>
        <w:ilvl w:val="4"/>
        <w:numId w:val="1"/>
      </w:numPr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  <w:kern w:val="0"/>
      <w:sz w:val="22"/>
      <w:szCs w:val="22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879C6"/>
    <w:pPr>
      <w:keepNext/>
      <w:keepLines/>
      <w:numPr>
        <w:ilvl w:val="5"/>
        <w:numId w:val="1"/>
      </w:numPr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kern w:val="0"/>
      <w:sz w:val="22"/>
      <w:szCs w:val="22"/>
      <w:lang w:eastAsia="en-US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79C6"/>
    <w:pPr>
      <w:keepNext/>
      <w:keepLines/>
      <w:numPr>
        <w:ilvl w:val="6"/>
        <w:numId w:val="1"/>
      </w:numPr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en-US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79C6"/>
    <w:pPr>
      <w:keepNext/>
      <w:keepLines/>
      <w:numPr>
        <w:ilvl w:val="7"/>
        <w:numId w:val="1"/>
      </w:numPr>
      <w:suppressAutoHyphens w:val="0"/>
      <w:spacing w:before="200" w:after="0"/>
      <w:outlineLvl w:val="7"/>
    </w:pPr>
    <w:rPr>
      <w:rFonts w:ascii="Cambria" w:eastAsia="Times New Roman" w:hAnsi="Cambria" w:cs="Times New Roman"/>
      <w:color w:val="404040"/>
      <w:kern w:val="0"/>
      <w:sz w:val="20"/>
      <w:lang w:eastAsia="en-US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79C6"/>
    <w:pPr>
      <w:keepNext/>
      <w:keepLines/>
      <w:numPr>
        <w:ilvl w:val="8"/>
        <w:numId w:val="1"/>
      </w:numPr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879C6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879C6"/>
    <w:rPr>
      <w:rFonts w:ascii="Cambria" w:eastAsia="Times New Roman" w:hAnsi="Cambria" w:cs="Mangal"/>
      <w:b/>
      <w:bCs/>
      <w:i/>
      <w:iCs/>
      <w:color w:val="000000"/>
      <w:kern w:val="1"/>
      <w:sz w:val="28"/>
      <w:szCs w:val="25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3879C6"/>
    <w:rPr>
      <w:rFonts w:ascii="Cambria" w:eastAsia="Times New Roman" w:hAnsi="Cambria" w:cs="Mangal"/>
      <w:b/>
      <w:bCs/>
      <w:color w:val="000000"/>
      <w:kern w:val="1"/>
      <w:sz w:val="26"/>
      <w:szCs w:val="23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3879C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9C6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879C6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79C6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79C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79C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"/>
    <w:basedOn w:val="Normln"/>
    <w:link w:val="TextpoznpodarouChar"/>
    <w:uiPriority w:val="99"/>
    <w:unhideWhenUsed/>
    <w:qFormat/>
    <w:rsid w:val="003879C6"/>
    <w:pPr>
      <w:suppressAutoHyphens w:val="0"/>
      <w:spacing w:after="0" w:line="240" w:lineRule="auto"/>
    </w:pPr>
    <w:rPr>
      <w:rFonts w:cs="Times New Roman"/>
      <w:color w:val="auto"/>
      <w:kern w:val="0"/>
      <w:sz w:val="20"/>
      <w:lang w:eastAsia="en-US" w:bidi="ar-SA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"/>
    <w:basedOn w:val="Standardnpsmoodstavce"/>
    <w:link w:val="Textpoznpodarou"/>
    <w:uiPriority w:val="99"/>
    <w:rsid w:val="003879C6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Footnote Reference Number,Légende;Char Car Car Car Ca"/>
    <w:uiPriority w:val="99"/>
    <w:unhideWhenUsed/>
    <w:rsid w:val="003879C6"/>
    <w:rPr>
      <w:vertAlign w:val="superscript"/>
    </w:rPr>
  </w:style>
  <w:style w:type="paragraph" w:customStyle="1" w:styleId="Default">
    <w:name w:val="Default"/>
    <w:rsid w:val="00387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8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3879C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3879C6"/>
    <w:rPr>
      <w:rFonts w:ascii="Calibri" w:eastAsia="Calibri" w:hAnsi="Calibri" w:cs="Mangal"/>
      <w:color w:val="000000"/>
      <w:kern w:val="1"/>
      <w:sz w:val="24"/>
      <w:szCs w:val="20"/>
      <w:lang w:eastAsia="hi-IN" w:bidi="hi-IN"/>
    </w:rPr>
  </w:style>
  <w:style w:type="paragraph" w:customStyle="1" w:styleId="Styl2">
    <w:name w:val="Styl2"/>
    <w:basedOn w:val="Nadpis2"/>
    <w:autoRedefine/>
    <w:qFormat/>
    <w:rsid w:val="00583D14"/>
    <w:pPr>
      <w:keepLines/>
      <w:numPr>
        <w:ilvl w:val="3"/>
        <w:numId w:val="0"/>
      </w:numPr>
      <w:suppressAutoHyphens w:val="0"/>
      <w:spacing w:before="0" w:after="200"/>
    </w:pPr>
    <w:rPr>
      <w:rFonts w:asciiTheme="minorHAnsi" w:eastAsia="Calibri" w:hAnsiTheme="minorHAnsi" w:cstheme="majorBidi"/>
      <w:bCs w:val="0"/>
      <w:i w:val="0"/>
      <w:iCs w:val="0"/>
      <w:color w:val="7EA2D1"/>
      <w:kern w:val="0"/>
      <w:sz w:val="24"/>
      <w:szCs w:val="26"/>
      <w:lang w:eastAsia="en-US" w:bidi="ar-SA"/>
    </w:rPr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3879C6"/>
    <w:pPr>
      <w:ind w:left="720"/>
      <w:contextualSpacing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79C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9C6"/>
    <w:rPr>
      <w:rFonts w:ascii="Tahoma" w:eastAsia="Calibri" w:hAnsi="Tahoma" w:cs="Mangal"/>
      <w:color w:val="000000"/>
      <w:kern w:val="1"/>
      <w:sz w:val="16"/>
      <w:szCs w:val="14"/>
      <w:lang w:eastAsia="hi-IN" w:bidi="hi-IN"/>
    </w:rPr>
  </w:style>
  <w:style w:type="character" w:styleId="Zstupntext">
    <w:name w:val="Placeholder Text"/>
    <w:basedOn w:val="Standardnpsmoodstavce"/>
    <w:uiPriority w:val="99"/>
    <w:semiHidden/>
    <w:rsid w:val="003879C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03FFC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103FFC"/>
    <w:rPr>
      <w:rFonts w:ascii="Calibri" w:eastAsia="Calibri" w:hAnsi="Calibri" w:cs="Mangal"/>
      <w:color w:val="000000"/>
      <w:kern w:val="1"/>
      <w:sz w:val="24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5D3C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3C43"/>
    <w:pPr>
      <w:spacing w:line="240" w:lineRule="auto"/>
    </w:pPr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3C43"/>
    <w:rPr>
      <w:rFonts w:ascii="Calibri" w:eastAsia="Calibri" w:hAnsi="Calibri" w:cs="Mangal"/>
      <w:color w:val="000000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3C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3C43"/>
    <w:rPr>
      <w:rFonts w:ascii="Calibri" w:eastAsia="Calibri" w:hAnsi="Calibri" w:cs="Mangal"/>
      <w:b/>
      <w:bCs/>
      <w:color w:val="000000"/>
      <w:kern w:val="1"/>
      <w:sz w:val="20"/>
      <w:szCs w:val="18"/>
      <w:lang w:eastAsia="hi-I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AD6E2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D6E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smt.cz/strukturalni-fondy/ris3-strategie-c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15OPMSMT0001-28-52310</_dlc_DocId>
    <_dlc_DocIdUrl xmlns="0104a4cd-1400-468e-be1b-c7aad71d7d5a">
      <Url>https://op.msmt.cz/_layouts/15/DocIdRedir.aspx?ID=15OPMSMT0001-28-52310</Url>
      <Description>15OPMSMT0001-28-52310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FBA9-D3B1-4DE4-9EA9-8A295D755219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0104a4cd-1400-468e-be1b-c7aad71d7d5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2A1ABF-58D4-4B52-82AF-0324B7C535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6ED487E-7283-4A6A-BC80-846D5D07D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42BFE9-D6C2-47CF-A456-70FDDEFA2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C7082F-4593-4081-A8CD-6EC82967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Czesaná Veronika</dc:creator>
  <dc:description/>
  <cp:lastModifiedBy>Týc Filip</cp:lastModifiedBy>
  <cp:revision>22</cp:revision>
  <dcterms:created xsi:type="dcterms:W3CDTF">2017-04-03T14:21:00Z</dcterms:created>
  <dcterms:modified xsi:type="dcterms:W3CDTF">2017-06-22T12:25:00Z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8b00ca04-f725-4d3f-8c72-ae3ac19dba6b</vt:lpwstr>
  </property>
</Properties>
</file>