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0F" w:rsidRPr="005C3971" w:rsidRDefault="00C3250F" w:rsidP="005C3971">
      <w:pPr>
        <w:pStyle w:val="Nadpis1"/>
        <w:numPr>
          <w:ilvl w:val="3"/>
          <w:numId w:val="0"/>
        </w:numPr>
        <w:jc w:val="center"/>
        <w:rPr>
          <w:rFonts w:eastAsia="Times New Roman"/>
          <w:sz w:val="36"/>
        </w:rPr>
      </w:pPr>
      <w:bookmarkStart w:id="0" w:name="_Toc472348534"/>
      <w:r w:rsidRPr="005C3971">
        <w:rPr>
          <w:rFonts w:eastAsia="Times New Roman"/>
          <w:sz w:val="36"/>
        </w:rPr>
        <w:t>Soulad projektu s RIS3</w:t>
      </w:r>
      <w:bookmarkStart w:id="1" w:name="_GoBack"/>
      <w:bookmarkEnd w:id="1"/>
    </w:p>
    <w:p w:rsidR="00286D1F" w:rsidRPr="00C3250F" w:rsidRDefault="00286D1F" w:rsidP="00B721E8">
      <w:pPr>
        <w:pStyle w:val="Styl2"/>
      </w:pPr>
      <w:r w:rsidRPr="00C3250F">
        <w:t xml:space="preserve">Příloha </w:t>
      </w:r>
      <w:r w:rsidR="00C3250F">
        <w:t>projektové žádosti</w:t>
      </w:r>
    </w:p>
    <w:p w:rsidR="005C3971" w:rsidRDefault="005C3971" w:rsidP="00B721E8">
      <w:pPr>
        <w:pStyle w:val="Styl2"/>
      </w:pPr>
    </w:p>
    <w:p w:rsidR="005E4EF1" w:rsidRPr="00B721E8" w:rsidRDefault="005E4EF1" w:rsidP="00B721E8">
      <w:pPr>
        <w:pStyle w:val="Styl2"/>
        <w:jc w:val="left"/>
      </w:pPr>
      <w:r w:rsidRPr="00B721E8">
        <w:t>Instrukce pro žadatele</w:t>
      </w:r>
    </w:p>
    <w:p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Tato příloha slouží žadateli pro účely prokázání souladu předkládaného projektu s Národní </w:t>
      </w:r>
      <w:r w:rsidR="001C67E2">
        <w:rPr>
          <w:sz w:val="22"/>
          <w:szCs w:val="22"/>
        </w:rPr>
        <w:t xml:space="preserve">výzkumnou a inovační strategií České republiky (dále jen </w:t>
      </w:r>
      <w:r w:rsidR="009F6796">
        <w:rPr>
          <w:sz w:val="22"/>
          <w:szCs w:val="22"/>
        </w:rPr>
        <w:t>„</w:t>
      </w:r>
      <w:r w:rsidR="001C67E2">
        <w:rPr>
          <w:sz w:val="22"/>
          <w:szCs w:val="22"/>
        </w:rPr>
        <w:t xml:space="preserve">Národní </w:t>
      </w:r>
      <w:r w:rsidRPr="00B721E8">
        <w:rPr>
          <w:sz w:val="22"/>
          <w:szCs w:val="22"/>
        </w:rPr>
        <w:t>RIS3 strategi</w:t>
      </w:r>
      <w:r w:rsidR="001C67E2">
        <w:rPr>
          <w:sz w:val="22"/>
          <w:szCs w:val="22"/>
        </w:rPr>
        <w:t>e</w:t>
      </w:r>
      <w:r w:rsidR="009F6796">
        <w:rPr>
          <w:sz w:val="22"/>
          <w:szCs w:val="22"/>
        </w:rPr>
        <w:t>“</w:t>
      </w:r>
      <w:r w:rsidR="001C67E2">
        <w:rPr>
          <w:sz w:val="22"/>
          <w:szCs w:val="22"/>
        </w:rPr>
        <w:t>)</w:t>
      </w:r>
      <w:r w:rsidRPr="00B721E8">
        <w:rPr>
          <w:sz w:val="22"/>
          <w:szCs w:val="22"/>
        </w:rPr>
        <w:t xml:space="preserve"> a/nebo její příslušnou krajskou přílohou, přičemž příslušným krajem je myšlen kraj relevantní vzhledem k místu realizace projektu. </w:t>
      </w:r>
    </w:p>
    <w:p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Projekt je svým zaměřením v souladu s doménami inteligentní specializace, pokud je realizován v souladu s:</w:t>
      </w:r>
    </w:p>
    <w:p w:rsidR="005C3971" w:rsidRPr="00B721E8" w:rsidRDefault="005C3971" w:rsidP="009E51F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>alespoň jedním klíčovým odvětvím aplikací/aplikačním tématem</w:t>
      </w:r>
      <w:r w:rsidRPr="00B721E8">
        <w:rPr>
          <w:sz w:val="22"/>
          <w:szCs w:val="22"/>
        </w:rPr>
        <w:t>, a to na úrovni konkrétních vydefinovaných perspektivních VaVaI/aplikačních témat identifikovaných v rámci pokročilé fáze EDP. Tato témata jsou popsána v j</w:t>
      </w:r>
      <w:r w:rsidR="00202AD5">
        <w:rPr>
          <w:sz w:val="22"/>
          <w:szCs w:val="22"/>
        </w:rPr>
        <w:t xml:space="preserve">ednotlivých subkapitolách 2.1.1 </w:t>
      </w:r>
      <w:r w:rsidRPr="00B721E8">
        <w:rPr>
          <w:sz w:val="22"/>
          <w:szCs w:val="22"/>
        </w:rPr>
        <w:t>-</w:t>
      </w:r>
      <w:r w:rsidR="00202AD5">
        <w:rPr>
          <w:sz w:val="22"/>
          <w:szCs w:val="22"/>
        </w:rPr>
        <w:t xml:space="preserve"> 2.8.5</w:t>
      </w:r>
      <w:r w:rsidRPr="00B721E8">
        <w:rPr>
          <w:sz w:val="22"/>
          <w:szCs w:val="22"/>
        </w:rPr>
        <w:t xml:space="preserve"> přílohy č. 3 Výzvy - v tabulkové kartě v pasáži „Popis potřeb a jejich řešení“ a dále též v podkladové příloze těchto jednotlivých subkapitol, kde jsou případně některá témata popsána více dopodrobna. </w:t>
      </w:r>
    </w:p>
    <w:p w:rsidR="005C3971" w:rsidRPr="00B721E8" w:rsidRDefault="00A96A22" w:rsidP="009E51F7">
      <w:pPr>
        <w:jc w:val="both"/>
        <w:rPr>
          <w:b/>
          <w:sz w:val="22"/>
          <w:szCs w:val="22"/>
        </w:rPr>
      </w:pPr>
      <w:r w:rsidRPr="00B721E8">
        <w:rPr>
          <w:b/>
          <w:sz w:val="22"/>
          <w:szCs w:val="22"/>
        </w:rPr>
        <w:t xml:space="preserve">a zároveň </w:t>
      </w:r>
      <w:r w:rsidR="005C3971" w:rsidRPr="00B721E8">
        <w:rPr>
          <w:b/>
          <w:sz w:val="22"/>
          <w:szCs w:val="22"/>
        </w:rPr>
        <w:t>s</w:t>
      </w:r>
    </w:p>
    <w:p w:rsidR="005C3971" w:rsidRPr="00B721E8" w:rsidRDefault="005C3971" w:rsidP="009E51F7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B721E8">
        <w:rPr>
          <w:b/>
          <w:sz w:val="22"/>
          <w:szCs w:val="22"/>
        </w:rPr>
        <w:t>alespoň jednou generickou znalostní doménou relevantní pro dané aplikační odvětví/téma</w:t>
      </w:r>
      <w:r w:rsidRPr="00B721E8">
        <w:rPr>
          <w:sz w:val="22"/>
          <w:szCs w:val="22"/>
        </w:rPr>
        <w:t xml:space="preserve"> (</w:t>
      </w:r>
      <w:r w:rsidR="009E51F7" w:rsidRPr="00B721E8">
        <w:rPr>
          <w:sz w:val="22"/>
          <w:szCs w:val="22"/>
        </w:rPr>
        <w:t>relevance specifikována</w:t>
      </w:r>
      <w:r w:rsidRPr="00B721E8">
        <w:rPr>
          <w:sz w:val="22"/>
          <w:szCs w:val="22"/>
        </w:rPr>
        <w:t xml:space="preserve"> vždy zvlášť pro dané aplikační odvětví v jednotli</w:t>
      </w:r>
      <w:r w:rsidR="00202AD5">
        <w:rPr>
          <w:sz w:val="22"/>
          <w:szCs w:val="22"/>
        </w:rPr>
        <w:t>vých subkapitolách 2.1.1 - 2.8.5</w:t>
      </w:r>
      <w:r w:rsidRPr="00B721E8">
        <w:rPr>
          <w:sz w:val="22"/>
          <w:szCs w:val="22"/>
        </w:rPr>
        <w:t xml:space="preserve"> přílohy č.3 Výzvy </w:t>
      </w:r>
      <w:r w:rsidR="00202AD5">
        <w:rPr>
          <w:sz w:val="22"/>
          <w:szCs w:val="22"/>
        </w:rPr>
        <w:t>–</w:t>
      </w:r>
      <w:r w:rsidRPr="00B721E8">
        <w:rPr>
          <w:sz w:val="22"/>
          <w:szCs w:val="22"/>
        </w:rPr>
        <w:t xml:space="preserve"> v tabulkové kartě v pasáži „Generické znalostní domény“).</w:t>
      </w:r>
    </w:p>
    <w:p w:rsidR="005C3971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 xml:space="preserve">Žadatel se zaměřením svého projektu musí pohybovat v relevantních průnicích aplikačních odvětví/témat a generických znalostních domén – </w:t>
      </w:r>
      <w:r w:rsidR="00C47153" w:rsidRPr="00B721E8">
        <w:rPr>
          <w:sz w:val="22"/>
          <w:szCs w:val="22"/>
        </w:rPr>
        <w:t xml:space="preserve">v rámci tzv. vertikalizační matice </w:t>
      </w:r>
      <w:r w:rsidRPr="00B721E8">
        <w:rPr>
          <w:sz w:val="22"/>
          <w:szCs w:val="22"/>
        </w:rPr>
        <w:t xml:space="preserve">zpřehledňující </w:t>
      </w:r>
      <w:r w:rsidR="00637E3F" w:rsidRPr="00B721E8">
        <w:rPr>
          <w:b/>
          <w:sz w:val="22"/>
          <w:szCs w:val="22"/>
        </w:rPr>
        <w:t>domény inteligentní specializace</w:t>
      </w:r>
      <w:r w:rsidR="00637E3F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>(a to domény národní i krajsky specifické). Kromě zařazení svého projektového záměru do této matice dále slovně popíše soulad projektového záměru s konkrétními VaV/aplikačními tématy popsanými v</w:t>
      </w:r>
      <w:r w:rsidR="00202AD5">
        <w:rPr>
          <w:sz w:val="22"/>
          <w:szCs w:val="22"/>
        </w:rPr>
        <w:t xml:space="preserve"> jednotlivých kapitolách 2.1.1 </w:t>
      </w:r>
      <w:r w:rsidRPr="00B721E8">
        <w:rPr>
          <w:sz w:val="22"/>
          <w:szCs w:val="22"/>
        </w:rPr>
        <w:t>-</w:t>
      </w:r>
      <w:r w:rsidR="00202AD5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 xml:space="preserve">2.8.5 a zároveň s alespoň jednou </w:t>
      </w:r>
      <w:r w:rsidR="00AE7696">
        <w:rPr>
          <w:sz w:val="22"/>
          <w:szCs w:val="22"/>
        </w:rPr>
        <w:t xml:space="preserve">relevantní </w:t>
      </w:r>
      <w:r w:rsidRPr="00B721E8">
        <w:rPr>
          <w:sz w:val="22"/>
          <w:szCs w:val="22"/>
        </w:rPr>
        <w:t>generickou znalostní doménou, a taktéž popíše své dosavadní zkušenosti/výsledky v daných VaV oblastech – dle vzoru této přílohy.</w:t>
      </w:r>
    </w:p>
    <w:p w:rsidR="004D56E2" w:rsidRPr="00B721E8" w:rsidRDefault="005C3971" w:rsidP="009E51F7">
      <w:pPr>
        <w:jc w:val="both"/>
        <w:rPr>
          <w:sz w:val="22"/>
          <w:szCs w:val="22"/>
        </w:rPr>
      </w:pPr>
      <w:r w:rsidRPr="00B721E8">
        <w:rPr>
          <w:sz w:val="22"/>
          <w:szCs w:val="22"/>
        </w:rPr>
        <w:t>Žadatel se při prokazování souladu své projektové žádosti s RIS3 strategií odvolává přímo na přílohu č.3 Výzvy („Podkladový materiál pro implementaci RIS3 strategie“) zpracovanou ze strany Úřadu vlády ve spolupráci s MŠMT a koncipovanou/zpřesněnou přímo pro potřeby této Výzvy. Není tak již potřeba odvolávat se na samotnou Národní RIS3 strategii či její regionální</w:t>
      </w:r>
      <w:r w:rsidR="00C47153" w:rsidRPr="00B721E8">
        <w:rPr>
          <w:sz w:val="22"/>
          <w:szCs w:val="22"/>
        </w:rPr>
        <w:t xml:space="preserve"> </w:t>
      </w:r>
      <w:r w:rsidRPr="00B721E8">
        <w:rPr>
          <w:sz w:val="22"/>
          <w:szCs w:val="22"/>
        </w:rPr>
        <w:t>přílohy.</w:t>
      </w:r>
      <w:r w:rsidR="00C47153" w:rsidRPr="00B721E8">
        <w:rPr>
          <w:sz w:val="22"/>
          <w:szCs w:val="22"/>
        </w:rPr>
        <w:t xml:space="preserve"> </w:t>
      </w:r>
      <w:r w:rsidR="00B40BBB">
        <w:rPr>
          <w:sz w:val="22"/>
          <w:szCs w:val="22"/>
        </w:rPr>
        <w:t xml:space="preserve"> </w:t>
      </w:r>
    </w:p>
    <w:p w:rsidR="00C47153" w:rsidRDefault="00C47153" w:rsidP="009E51F7">
      <w:pPr>
        <w:jc w:val="both"/>
        <w:rPr>
          <w:lang w:eastAsia="cs-CZ" w:bidi="ar-SA"/>
        </w:rPr>
        <w:sectPr w:rsidR="00C47153" w:rsidSect="003F5D09">
          <w:headerReference w:type="default" r:id="rId9"/>
          <w:footerReference w:type="default" r:id="rId10"/>
          <w:pgSz w:w="11907" w:h="16839" w:code="9"/>
          <w:pgMar w:top="2237" w:right="1417" w:bottom="993" w:left="1417" w:header="510" w:footer="57" w:gutter="0"/>
          <w:cols w:space="708"/>
          <w:docGrid w:linePitch="326" w:charSpace="32768"/>
        </w:sectPr>
      </w:pPr>
    </w:p>
    <w:sdt>
      <w:sdtPr>
        <w:id w:val="123362374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bCs/>
          <w:i/>
          <w:iCs/>
          <w:color w:val="auto"/>
          <w:sz w:val="22"/>
          <w:szCs w:val="22"/>
          <w:lang w:eastAsia="cs-CZ"/>
        </w:rPr>
      </w:sdtEndPr>
      <w:sdtContent>
        <w:p w:rsidR="004C433F" w:rsidRPr="00B721E8" w:rsidRDefault="004C433F" w:rsidP="00B721E8">
          <w:pPr>
            <w:pStyle w:val="Styl2"/>
            <w:numPr>
              <w:ilvl w:val="0"/>
              <w:numId w:val="7"/>
            </w:numPr>
            <w:spacing w:after="0"/>
            <w:jc w:val="left"/>
          </w:pPr>
          <w:r w:rsidRPr="00B721E8">
            <w:t>Zařazení předkládaného projektu do Vertikalizační matice</w:t>
          </w:r>
        </w:p>
        <w:p w:rsidR="007E3103" w:rsidRPr="008B567A" w:rsidRDefault="0043087A" w:rsidP="008B567A">
          <w:pPr>
            <w:pStyle w:val="Nadpis4"/>
            <w:numPr>
              <w:ilvl w:val="0"/>
              <w:numId w:val="0"/>
            </w:numPr>
            <w:spacing w:before="0" w:after="120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Žadatel </w:t>
          </w:r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vyznačí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VaVaI zaměření předkládaného projektu </w:t>
          </w:r>
          <w:r w:rsidR="004C433F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 níže uvedené Ve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rtikalizační matici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- </w:t>
          </w:r>
          <w:r w:rsidR="007E3103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Přehled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u</w:t>
          </w:r>
          <w:r w:rsidR="007E3103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domén inteligentní specializace</w:t>
          </w:r>
          <w:r w:rsidR="007E3103" w:rsidRPr="008B567A">
            <w:rPr>
              <w:rStyle w:val="Znakapoznpodarou"/>
              <w:rFonts w:asciiTheme="minorHAnsi" w:eastAsia="Arial" w:hAnsiTheme="minorHAnsi" w:cs="Arial"/>
              <w:b w:val="0"/>
              <w:color w:val="auto"/>
              <w:lang w:eastAsia="cs-CZ"/>
            </w:rPr>
            <w:footnoteReference w:id="1"/>
          </w:r>
          <w:bookmarkEnd w:id="0"/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(Žadatel označí všechna pole relevantní pro předkládaný projekt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: generické znalostní domény a jejich využití v 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klíčových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aplikačních odvětvích/tématech</w:t>
          </w:r>
          <w:r w:rsidR="00CA73FD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).</w:t>
          </w:r>
        </w:p>
      </w:sdtContent>
    </w:sdt>
    <w:sdt>
      <w:sdtPr>
        <w:rPr>
          <w:rFonts w:ascii="Arial,Times New Roman" w:eastAsia="Arial,Times New Roman" w:hAnsi="Arial,Times New Roman" w:cs="Arial,Times New Roman"/>
          <w:b/>
          <w:bCs/>
          <w:color w:val="FFFFFF"/>
          <w:sz w:val="16"/>
          <w:szCs w:val="16"/>
          <w:lang w:eastAsia="cs-CZ"/>
        </w:rPr>
        <w:id w:val="-868987719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="Arial"/>
          <w:color w:val="365F91" w:themeColor="accent1" w:themeShade="BF"/>
          <w:sz w:val="28"/>
          <w:szCs w:val="28"/>
        </w:rPr>
      </w:sdtEndPr>
      <w:sdtContent>
        <w:tbl>
          <w:tblPr>
            <w:tblW w:w="5370" w:type="pct"/>
            <w:tblInd w:w="-214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48"/>
            <w:gridCol w:w="547"/>
            <w:gridCol w:w="1651"/>
            <w:gridCol w:w="1220"/>
            <w:gridCol w:w="855"/>
            <w:gridCol w:w="997"/>
            <w:gridCol w:w="1006"/>
            <w:gridCol w:w="997"/>
            <w:gridCol w:w="997"/>
            <w:gridCol w:w="997"/>
            <w:gridCol w:w="863"/>
            <w:gridCol w:w="1371"/>
            <w:gridCol w:w="850"/>
            <w:gridCol w:w="1055"/>
            <w:gridCol w:w="565"/>
            <w:gridCol w:w="561"/>
            <w:gridCol w:w="512"/>
            <w:gridCol w:w="908"/>
            <w:gridCol w:w="1139"/>
            <w:gridCol w:w="1237"/>
            <w:gridCol w:w="837"/>
            <w:gridCol w:w="1015"/>
            <w:gridCol w:w="837"/>
            <w:gridCol w:w="690"/>
          </w:tblGrid>
          <w:tr w:rsidR="007E3103" w:rsidRPr="00A705B6" w:rsidTr="006426D8">
            <w:trPr>
              <w:trHeight w:val="450"/>
            </w:trPr>
            <w:tc>
              <w:tcPr>
                <w:tcW w:w="617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942414" w:rsidDel="00441809" w:rsidRDefault="007E3103" w:rsidP="006426D8">
                <w:pPr>
                  <w:spacing w:after="0" w:line="240" w:lineRule="auto"/>
                  <w:rPr>
                    <w:rFonts w:ascii="Arial,Times New Roman" w:eastAsia="Arial,Times New Roman" w:hAnsi="Arial,Times New Roman" w:cs="Arial,Times New Roman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346" w:type="pct"/>
                <w:gridSpan w:val="16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942414" w:rsidRDefault="009F7C9A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KLÍČOVÁ 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APLIKAČNÍ ODVĚTVÍ/TÉMATA</w:t>
                </w:r>
                <w:r w:rsidR="007E3103" w:rsidRPr="00E55A8B">
                  <w:rPr>
                    <w:rStyle w:val="Znakapoznpodarou"/>
                    <w:rFonts w:ascii="Arial" w:eastAsia="Arial,Times New Roman" w:hAnsi="Arial" w:cs="Arial"/>
                    <w:b/>
                    <w:bCs/>
                    <w:color w:val="FFFFFF"/>
                    <w:lang w:eastAsia="cs-CZ"/>
                  </w:rPr>
                  <w:footnoteReference w:id="2"/>
                </w:r>
                <w:r w:rsidR="007E3103" w:rsidRPr="00E55A8B">
                  <w:rPr>
                    <w:rFonts w:ascii="Arial" w:eastAsia="Arial,Times New Roman" w:hAnsi="Arial" w:cs="Arial"/>
                    <w:b/>
                    <w:bCs/>
                    <w:color w:val="FFFFFF"/>
                    <w:sz w:val="22"/>
                    <w:lang w:eastAsia="cs-CZ"/>
                  </w:rPr>
                  <w:t xml:space="preserve"> 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(zaostřená na základě pokročil</w:t>
                </w:r>
                <w:r w:rsidR="007E3103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é</w:t>
                </w:r>
                <w:r w:rsidR="007E3103"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fáze EDP v aktualizované Národní RIS3 strategii)</w:t>
                </w:r>
                <w:r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 xml:space="preserve"> – národní úroveň</w:t>
                </w:r>
              </w:p>
            </w:tc>
            <w:tc>
              <w:tcPr>
                <w:tcW w:w="1037" w:type="pct"/>
                <w:gridSpan w:val="5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8064A2"/>
                <w:vAlign w:val="center"/>
              </w:tcPr>
              <w:p w:rsidR="007E3103" w:rsidRPr="00942414" w:rsidRDefault="007E3103" w:rsidP="009772CA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Krajsky specifick</w:t>
                </w:r>
                <w:r w:rsidR="009772CA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á aplikační odvětví</w:t>
                </w: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8"/>
                    <w:szCs w:val="18"/>
                    <w:lang w:eastAsia="cs-CZ"/>
                  </w:rPr>
                  <w:t>/témata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/>
                    <w:bCs/>
                    <w:color w:val="FFFFFF"/>
                    <w:szCs w:val="18"/>
                    <w:lang w:eastAsia="cs-CZ"/>
                  </w:rPr>
                  <w:footnoteReference w:id="3"/>
                </w:r>
              </w:p>
            </w:tc>
          </w:tr>
          <w:tr w:rsidR="007E3103" w:rsidRPr="00A705B6" w:rsidTr="006426D8">
            <w:trPr>
              <w:trHeight w:val="1478"/>
            </w:trPr>
            <w:tc>
              <w:tcPr>
                <w:tcW w:w="617" w:type="pct"/>
                <w:gridSpan w:val="3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690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Pokročilé stroje/technologie pro silný a globálně konkurenceschopný průmysl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I. - Strojírenství, energetika a hutnictví)</w:t>
                </w:r>
              </w:p>
            </w:tc>
            <w:tc>
              <w:tcPr>
                <w:tcW w:w="450" w:type="pct"/>
                <w:gridSpan w:val="2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Digital market technologies a elektrotechnika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II. - Elektronika, elektrotechnika a ICT)</w:t>
                </w:r>
              </w:p>
            </w:tc>
            <w:tc>
              <w:tcPr>
                <w:tcW w:w="642" w:type="pct"/>
                <w:gridSpan w:val="3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Dopravní prostředky pro 21. století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III. – Výroba dopravních prostředků)</w:t>
                </w:r>
              </w:p>
            </w:tc>
            <w:tc>
              <w:tcPr>
                <w:tcW w:w="30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Péče o zdraví, pokročilá medicína </w:t>
                </w: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IV. - Léčiva, biotechnologie, prostředky zdrav. techniky, Life Sciences)</w:t>
                </w:r>
              </w:p>
            </w:tc>
            <w:tc>
              <w:tcPr>
                <w:tcW w:w="428" w:type="pct"/>
                <w:gridSpan w:val="2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Kulturní a kreativní odvětví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V. - Kulturní a kreativní průmysly)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572" w:type="pct"/>
                <w:gridSpan w:val="4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Zemědělství a životní prostředí 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(NIP VI.)</w:t>
                </w:r>
              </w:p>
            </w:tc>
            <w:tc>
              <w:tcPr>
                <w:tcW w:w="25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4F81BD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>Společenské výzvy</w:t>
                </w:r>
              </w:p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  <w:t xml:space="preserve"> (NIP VII.)</w:t>
                </w:r>
                <w:r w:rsidRPr="00E55A8B">
                  <w:rPr>
                    <w:rFonts w:ascii="Arial" w:hAnsi="Arial" w:cs="Arial"/>
                    <w:color w:val="FFFFFF"/>
                    <w:vertAlign w:val="superscript"/>
                  </w:rPr>
                  <w:footnoteReference w:id="4"/>
                </w:r>
              </w:p>
            </w:tc>
            <w:tc>
              <w:tcPr>
                <w:tcW w:w="1037" w:type="pct"/>
                <w:gridSpan w:val="5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8064A2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i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</w:tr>
          <w:tr w:rsidR="00D35BB6" w:rsidRPr="00A705B6" w:rsidTr="009772CA">
            <w:trPr>
              <w:cantSplit/>
              <w:trHeight w:val="1692"/>
            </w:trPr>
            <w:tc>
              <w:tcPr>
                <w:tcW w:w="617" w:type="pct"/>
                <w:gridSpan w:val="3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000000" w:fill="4F81BD"/>
                <w:vAlign w:val="center"/>
              </w:tcPr>
              <w:p w:rsidR="007E3103" w:rsidRPr="00CF6038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27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Strojírenství mechatronika</w:t>
                </w:r>
              </w:p>
            </w:tc>
            <w:tc>
              <w:tcPr>
                <w:tcW w:w="192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Hutnictví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Energetika</w:t>
                </w:r>
              </w:p>
            </w:tc>
            <w:tc>
              <w:tcPr>
                <w:tcW w:w="2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Elektronika a elektrotechnika v digitálním věku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Digitální ekonomika a digitální obsah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Automotive</w:t>
                </w:r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Železniční a kolejová vozidla</w:t>
                </w:r>
              </w:p>
            </w:tc>
            <w:tc>
              <w:tcPr>
                <w:tcW w:w="194" w:type="pct"/>
                <w:tcBorders>
                  <w:top w:val="single" w:sz="4" w:space="0" w:color="80A1B6"/>
                  <w:left w:val="single" w:sz="8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Letecký a kosmický průmysl</w:t>
                </w:r>
              </w:p>
            </w:tc>
            <w:tc>
              <w:tcPr>
                <w:tcW w:w="30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Léčiva, biotechnologie, prostředky zdravotnické techniky a Life Sciences</w:t>
                </w:r>
              </w:p>
            </w:tc>
            <w:tc>
              <w:tcPr>
                <w:tcW w:w="19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8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Tradiční kulturní a kreativní průmysly</w:t>
                </w:r>
              </w:p>
            </w:tc>
            <w:tc>
              <w:tcPr>
                <w:tcW w:w="237" w:type="pct"/>
                <w:tcBorders>
                  <w:top w:val="single" w:sz="4" w:space="0" w:color="80A1B6"/>
                  <w:left w:val="single" w:sz="8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Nové kulturní a kreativní průmysly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Cs/>
                    <w:color w:val="365F91"/>
                    <w:szCs w:val="16"/>
                    <w:lang w:eastAsia="cs-CZ"/>
                  </w:rPr>
                  <w:footnoteReference w:id="5"/>
                </w:r>
              </w:p>
            </w:tc>
            <w:tc>
              <w:tcPr>
                <w:tcW w:w="127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Udržitelné hospodaření s přírodními zdroji; </w:t>
                </w:r>
              </w:p>
            </w:tc>
            <w:tc>
              <w:tcPr>
                <w:tcW w:w="1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Udržitelné zemědělství a lesnictví; </w:t>
                </w:r>
              </w:p>
            </w:tc>
            <w:tc>
              <w:tcPr>
                <w:tcW w:w="11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Udržitelná produkce potravin; </w:t>
                </w:r>
              </w:p>
            </w:tc>
            <w:tc>
              <w:tcPr>
                <w:tcW w:w="20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Zajištění zdravého a kvalitního životního prostředí a efektivní využívání přír. zdrojů</w:t>
                </w:r>
              </w:p>
            </w:tc>
            <w:tc>
              <w:tcPr>
                <w:tcW w:w="25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B8CCE4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Bezpečnostní výzkum; Výzkum ve zdravotnictví; Práce, soc. služby a důchodový systém</w:t>
                </w:r>
              </w:p>
            </w:tc>
            <w:tc>
              <w:tcPr>
                <w:tcW w:w="27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Chemie a chemický průmysl –  kraje: Karlovarský, Olomoucký, Středočeský  Ústecký, Pardubický </w:t>
                </w:r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Sklářství a keramika – kraje: Ústecký, Karlovarský, Liberecký</w:t>
                </w:r>
              </w:p>
            </w:tc>
            <w:tc>
              <w:tcPr>
                <w:tcW w:w="22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 xml:space="preserve">Gumárenství a plastikářství – kraje: Karlovarský, Královéhradecký, Zlínský  </w:t>
                </w:r>
              </w:p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Textil – kraje: Pardubický, Liberecký,  Královéhradecký</w:t>
                </w:r>
              </w:p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5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/>
                <w:textDirection w:val="btL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Cs/>
                    <w:color w:val="365F91"/>
                    <w:sz w:val="16"/>
                    <w:szCs w:val="16"/>
                    <w:lang w:eastAsia="cs-CZ"/>
                  </w:rPr>
                  <w:t>Balneologie a lázeňství – kraj: Karlovarský</w:t>
                </w:r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jc w:val="center"/>
                  <w:rPr>
                    <w:rFonts w:ascii="Arial" w:eastAsia="Arial,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FFFFFF"/>
                    <w:sz w:val="20"/>
                    <w:lang w:eastAsia="cs-CZ"/>
                  </w:rPr>
                  <w:t>GENERICKÉ ZNALOSTNÍ DOMÉNY</w:t>
                </w:r>
                <w:r w:rsidRPr="00E55A8B">
                  <w:rPr>
                    <w:rStyle w:val="Znakapoznpodarou"/>
                    <w:rFonts w:ascii="Arial" w:eastAsia="Arial,Times New Roman" w:hAnsi="Arial" w:cs="Arial"/>
                    <w:bCs/>
                    <w:color w:val="FFFFFF"/>
                    <w:lang w:eastAsia="cs-CZ"/>
                  </w:rPr>
                  <w:footnoteReference w:id="6"/>
                </w:r>
              </w:p>
            </w:tc>
            <w:tc>
              <w:tcPr>
                <w:tcW w:w="123" w:type="pct"/>
                <w:vMerge w:val="restart"/>
                <w:tcBorders>
                  <w:top w:val="single" w:sz="12" w:space="0" w:color="80A1B6"/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textDirection w:val="btLr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Key enabling technologies (KETs)</w:t>
                </w:r>
              </w:p>
            </w:tc>
            <w:tc>
              <w:tcPr>
                <w:tcW w:w="371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Pokročilé materiály</w:t>
                </w:r>
              </w:p>
            </w:tc>
            <w:tc>
              <w:tcPr>
                <w:tcW w:w="27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2666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90070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490077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129038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08411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12960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926711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93317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4899363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21943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4246176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single" w:sz="12" w:space="0" w:color="80A1B6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100233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80278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176324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186246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5458332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69618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6909831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1212527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670890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149309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single" w:sz="12" w:space="0" w:color="80A1B6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9414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B40BBB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hyperlink w:anchor="RANGE!#ODKAZ!" w:history="1">
                  <w:r w:rsidR="007E3103" w:rsidRPr="00942414">
                    <w:rPr>
                      <w:rFonts w:ascii="Arial" w:eastAsia="Arial,Times New Roman" w:hAnsi="Arial" w:cs="Arial"/>
                      <w:b/>
                      <w:bCs/>
                      <w:color w:val="365F91"/>
                      <w:sz w:val="16"/>
                      <w:szCs w:val="16"/>
                      <w:lang w:eastAsia="cs-CZ"/>
                    </w:rPr>
                    <w:t>Nanotechnologie</w:t>
                  </w:r>
                </w:hyperlink>
                <w:r w:rsidR="007E3103" w:rsidRPr="00E55A8B">
                  <w:rPr>
                    <w:rFonts w:ascii="Arial" w:eastAsia="Arial,Times New Roman" w:hAnsi="Arial" w:cs="Arial"/>
                    <w:b/>
                    <w:bCs/>
                    <w:color w:val="365F91"/>
                    <w:szCs w:val="18"/>
                    <w:vertAlign w:val="superscript"/>
                    <w:lang w:eastAsia="cs-CZ"/>
                  </w:rPr>
                  <w:footnoteReference w:id="7"/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258556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91324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732951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58588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62795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1074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321191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825826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280992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79005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8078634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225178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34203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4688907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97952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71639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905124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36498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034970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87209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94594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Mikro a nanoelektronika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07758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28529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675210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90070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91301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771241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743633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821628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388797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25548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45345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893309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439767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431432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728529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32575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Pokročilé výrobní technologie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07583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18958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250484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893039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769843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883461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72CA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13081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72CA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82933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35422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64216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692800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02112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70121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538431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21369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349912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179418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30845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673260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679988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437231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567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Fotonika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40328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124501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392543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9633797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742673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153035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726333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130777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4939437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  <w:r w:rsidR="007E3103" w:rsidRPr="00E55A8B">
                  <w:rPr>
                    <w:rFonts w:asciiTheme="minorHAnsi" w:hAnsiTheme="minorHAnsi" w:cs="Arial"/>
                    <w:b/>
                    <w:color w:val="365F91" w:themeColor="accent1" w:themeShade="BF"/>
                    <w:szCs w:val="28"/>
                    <w:vertAlign w:val="superscript"/>
                  </w:rPr>
                  <w:footnoteReference w:id="8"/>
                </w: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8415843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375544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50411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235691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055611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52888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6584204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395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95B3D7"/>
                  <w:right w:val="single" w:sz="12" w:space="0" w:color="80A1B6"/>
                </w:tcBorders>
                <w:shd w:val="clear" w:color="auto" w:fill="C2D69B"/>
                <w:vAlign w:val="center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nil"/>
                  <w:left w:val="single" w:sz="12" w:space="0" w:color="80A1B6"/>
                  <w:bottom w:val="single" w:sz="12" w:space="0" w:color="95B3D7"/>
                  <w:right w:val="single" w:sz="12" w:space="0" w:color="80A1B6"/>
                </w:tcBorders>
                <w:shd w:val="clear" w:color="auto" w:fill="D6E3BC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Průmyslové biotechnologie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092854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>
                      <w:rPr>
                        <w:rFonts w:ascii="MS Gothic" w:eastAsia="MS Gothic" w:hAnsi="MS Gothic" w:cs="Arial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6202359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00368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733156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377095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nil"/>
                  <w:left w:val="nil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4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565095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nil"/>
                  <w:left w:val="nil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6935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85199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067888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256328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8570166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2090304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36199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25942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803103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579363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729387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751"/>
            </w:trPr>
            <w:tc>
              <w:tcPr>
                <w:tcW w:w="123" w:type="pct"/>
                <w:vMerge/>
                <w:tcBorders>
                  <w:left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color w:val="FFFFFF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 w:val="restart"/>
                <w:tcBorders>
                  <w:top w:val="single" w:sz="12" w:space="0" w:color="95B3D7"/>
                  <w:left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textDirection w:val="btLr"/>
                <w:vAlign w:val="center"/>
                <w:hideMark/>
              </w:tcPr>
              <w:p w:rsidR="007E3103" w:rsidRPr="00942414" w:rsidRDefault="007E3103" w:rsidP="006426D8">
                <w:pPr>
                  <w:spacing w:after="0" w:line="240" w:lineRule="auto"/>
                  <w:ind w:left="113" w:right="113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Netechnologické znalostní domény</w:t>
                </w:r>
              </w:p>
            </w:tc>
            <w:tc>
              <w:tcPr>
                <w:tcW w:w="371" w:type="pct"/>
                <w:tcBorders>
                  <w:top w:val="single" w:sz="12" w:space="0" w:color="95B3D7"/>
                  <w:left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Znalosti pro digitální ekonomiku kulturní a kreativní průmysl</w:t>
                </w:r>
              </w:p>
            </w:tc>
            <w:tc>
              <w:tcPr>
                <w:tcW w:w="27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2" w:type="pct"/>
                <w:tcBorders>
                  <w:top w:val="single" w:sz="4" w:space="0" w:color="80A1B6"/>
                  <w:left w:val="single" w:sz="4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395154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2272658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725172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595394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6317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0987200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4" w:type="pct"/>
                <w:tcBorders>
                  <w:top w:val="nil"/>
                  <w:left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991555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30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296940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nil"/>
                  <w:left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5231406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37" w:type="pct"/>
                <w:tcBorders>
                  <w:top w:val="nil"/>
                  <w:left w:val="single" w:sz="4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76043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highlight w:val="green"/>
                    <w:lang w:eastAsia="cs-CZ"/>
                  </w:rPr>
                </w:pPr>
              </w:p>
            </w:tc>
            <w:tc>
              <w:tcPr>
                <w:tcW w:w="12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7935214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04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56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757172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916462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194455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325298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671102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nil"/>
                  <w:left w:val="single" w:sz="12" w:space="0" w:color="80A1B6"/>
                  <w:bottom w:val="single" w:sz="4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845432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  <w:tr w:rsidR="00D35BB6" w:rsidRPr="00A705B6" w:rsidTr="009772CA">
            <w:trPr>
              <w:trHeight w:val="766"/>
            </w:trPr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76923C"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123" w:type="pct"/>
                <w:vMerge/>
                <w:tcBorders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  <w:hideMark/>
              </w:tcPr>
              <w:p w:rsidR="007E3103" w:rsidRPr="00DF5BC4" w:rsidRDefault="007E3103" w:rsidP="006426D8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</w:p>
            </w:tc>
            <w:tc>
              <w:tcPr>
                <w:tcW w:w="37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CCC0D9" w:themeFill="accent4" w:themeFillTint="66"/>
                <w:vAlign w:val="center"/>
              </w:tcPr>
              <w:p w:rsidR="007E3103" w:rsidRPr="00942414" w:rsidRDefault="007E3103" w:rsidP="006426D8">
                <w:pPr>
                  <w:spacing w:after="0" w:line="240" w:lineRule="auto"/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</w:pPr>
                <w:r w:rsidRPr="00942414">
                  <w:rPr>
                    <w:rFonts w:ascii="Arial" w:eastAsia="Arial,Times New Roman" w:hAnsi="Arial" w:cs="Arial"/>
                    <w:b/>
                    <w:bCs/>
                    <w:color w:val="365F91"/>
                    <w:sz w:val="16"/>
                    <w:szCs w:val="16"/>
                    <w:lang w:eastAsia="cs-CZ"/>
                  </w:rPr>
                  <w:t>Společenskovědní znalosti pro netechnické inovace</w:t>
                </w:r>
              </w:p>
            </w:tc>
            <w:tc>
              <w:tcPr>
                <w:tcW w:w="27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2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700440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47950131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86D1F">
                      <w:rPr>
                        <w:rFonts w:ascii="MS Gothic" w:eastAsia="MS Gothic" w:hAnsi="MS Gothic" w:cs="Arial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2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194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30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2051567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91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4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7E3103" w:rsidP="006426D8">
                <w:pPr>
                  <w:spacing w:after="0" w:line="240" w:lineRule="auto"/>
                  <w:jc w:val="center"/>
                  <w:rPr>
                    <w:rFonts w:asciiTheme="minorHAnsi" w:eastAsia="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</w:p>
            </w:tc>
            <w:tc>
              <w:tcPr>
                <w:tcW w:w="237" w:type="pct"/>
                <w:tcBorders>
                  <w:top w:val="single" w:sz="4" w:space="0" w:color="80A1B6"/>
                  <w:left w:val="nil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  <w:hideMark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032076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7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992454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2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18460924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1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837981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04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6556328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56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092185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7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5316805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17181696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22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070868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88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21384058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  <w:tc>
              <w:tcPr>
                <w:tcW w:w="155" w:type="pct"/>
                <w:tcBorders>
                  <w:top w:val="single" w:sz="4" w:space="0" w:color="80A1B6"/>
                  <w:left w:val="single" w:sz="12" w:space="0" w:color="80A1B6"/>
                  <w:bottom w:val="single" w:sz="12" w:space="0" w:color="80A1B6"/>
                  <w:right w:val="single" w:sz="12" w:space="0" w:color="80A1B6"/>
                </w:tcBorders>
                <w:shd w:val="clear" w:color="auto" w:fill="auto"/>
                <w:vAlign w:val="center"/>
              </w:tcPr>
              <w:p w:rsidR="007E3103" w:rsidRPr="00E55A8B" w:rsidRDefault="00B40BBB" w:rsidP="006426D8">
                <w:pPr>
                  <w:spacing w:after="0" w:line="240" w:lineRule="auto"/>
                  <w:jc w:val="center"/>
                  <w:rPr>
                    <w:rFonts w:asciiTheme="minorHAnsi" w:eastAsia="Arial,Times New Roman" w:hAnsiTheme="minorHAnsi" w:cs="Arial"/>
                    <w:b/>
                    <w:bCs/>
                    <w:color w:val="365F91" w:themeColor="accent1" w:themeShade="BF"/>
                    <w:sz w:val="28"/>
                    <w:szCs w:val="28"/>
                    <w:highlight w:val="yellow"/>
                    <w:lang w:eastAsia="cs-CZ"/>
                  </w:rPr>
                </w:pPr>
                <w:sdt>
                  <w:sdtPr>
                    <w:rPr>
                      <w:rFonts w:asciiTheme="minorHAnsi" w:eastAsia="Arial,Times New Roman" w:hAnsiTheme="minorHAnsi" w:cs="Arial"/>
                      <w:b/>
                      <w:bCs/>
                      <w:color w:val="365F91" w:themeColor="accent1" w:themeShade="BF"/>
                      <w:sz w:val="28"/>
                      <w:szCs w:val="28"/>
                      <w:lang w:eastAsia="cs-CZ"/>
                    </w:rPr>
                    <w:id w:val="-942523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E3103" w:rsidRPr="00E55A8B">
                      <w:rPr>
                        <w:rFonts w:ascii="MS Gothic" w:eastAsia="MS Gothic" w:hAnsi="MS Gothic" w:cs="MS Gothic" w:hint="eastAsia"/>
                        <w:b/>
                        <w:bCs/>
                        <w:color w:val="365F91" w:themeColor="accent1" w:themeShade="BF"/>
                        <w:sz w:val="28"/>
                        <w:szCs w:val="28"/>
                        <w:lang w:eastAsia="cs-CZ"/>
                      </w:rPr>
                      <w:t>☐</w:t>
                    </w:r>
                  </w:sdtContent>
                </w:sdt>
              </w:p>
            </w:tc>
          </w:tr>
        </w:tbl>
      </w:sdtContent>
    </w:sdt>
    <w:sdt>
      <w:sdtPr>
        <w:rPr>
          <w:sz w:val="18"/>
          <w:szCs w:val="18"/>
        </w:rPr>
        <w:id w:val="183413231"/>
        <w:lock w:val="contentLocked"/>
        <w:group/>
      </w:sdtPr>
      <w:sdtContent>
        <w:p w:rsidR="007E3103" w:rsidRPr="00DD3926" w:rsidRDefault="007E3103" w:rsidP="007E3103">
          <w:pPr>
            <w:rPr>
              <w:lang w:eastAsia="cs-CZ" w:bidi="ar-SA"/>
            </w:rPr>
          </w:pPr>
          <w:r w:rsidRPr="00DD3926">
            <w:rPr>
              <w:sz w:val="18"/>
              <w:szCs w:val="18"/>
            </w:rPr>
            <w:t>Zdroj: Úřad vlády ČR (2016): Národní výzkumná a inovační strategie inteligentní specializace České republiky</w:t>
          </w:r>
          <w:r>
            <w:rPr>
              <w:sz w:val="18"/>
              <w:szCs w:val="18"/>
            </w:rPr>
            <w:t xml:space="preserve"> (aktualizovaná verze); Úřad vlády ČR (2016): Podkladový analytický materiál – Podklad k naplňování NP VaVaI 2016-2020 a k zaměření vertikalizace ESIF a NP v kontextu RIS3</w:t>
          </w:r>
        </w:p>
      </w:sdtContent>
    </w:sdt>
    <w:p w:rsidR="004D56E2" w:rsidRDefault="004D56E2" w:rsidP="007E3103">
      <w:pPr>
        <w:pStyle w:val="Textpoznpodarou"/>
        <w:rPr>
          <w:sz w:val="18"/>
          <w:szCs w:val="18"/>
        </w:rPr>
        <w:sectPr w:rsidR="004D56E2" w:rsidSect="00D35BB6">
          <w:headerReference w:type="default" r:id="rId11"/>
          <w:footerReference w:type="default" r:id="rId12"/>
          <w:pgSz w:w="23814" w:h="16839" w:orient="landscape" w:code="8"/>
          <w:pgMar w:top="1418" w:right="2240" w:bottom="1418" w:left="992" w:header="709" w:footer="0" w:gutter="0"/>
          <w:cols w:space="708"/>
          <w:docGrid w:linePitch="326" w:charSpace="32768"/>
        </w:sectPr>
      </w:pPr>
    </w:p>
    <w:sdt>
      <w:sdtPr>
        <w:id w:val="1778216024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bCs/>
          <w:i/>
          <w:iCs/>
          <w:color w:val="auto"/>
          <w:sz w:val="22"/>
          <w:szCs w:val="22"/>
          <w:lang w:eastAsia="cs-CZ"/>
        </w:rPr>
      </w:sdtEndPr>
      <w:sdtContent>
        <w:p w:rsidR="004C433F" w:rsidRPr="008B567A" w:rsidRDefault="004C433F" w:rsidP="008B567A">
          <w:pPr>
            <w:pStyle w:val="Styl2"/>
            <w:numPr>
              <w:ilvl w:val="0"/>
              <w:numId w:val="7"/>
            </w:numPr>
            <w:jc w:val="left"/>
          </w:pPr>
          <w:r w:rsidRPr="008B567A">
            <w:t>Označení kraje relevantního vzhledem k místu realizace předkládaného projektu</w:t>
          </w:r>
        </w:p>
        <w:p w:rsidR="00B721E8" w:rsidRPr="008B567A" w:rsidRDefault="00B721E8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 případě, že je projekt předkládán v souladu s krajsky specifickou oblastí specializace, Žadatel v textovém poli uvede daný kraj/kraje (za podmínky prokazatelné relevance kraje vzhledem k místu realizace projektu):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1E8" w:rsidTr="00B721E8">
        <w:tc>
          <w:tcPr>
            <w:tcW w:w="9212" w:type="dxa"/>
          </w:tcPr>
          <w:p w:rsidR="00B721E8" w:rsidRDefault="00B721E8" w:rsidP="00E35C8B">
            <w:pPr>
              <w:jc w:val="both"/>
              <w:rPr>
                <w:lang w:eastAsia="en-US" w:bidi="ar-SA"/>
              </w:rPr>
            </w:pPr>
          </w:p>
        </w:tc>
      </w:tr>
    </w:tbl>
    <w:sdt>
      <w:sdtPr>
        <w:id w:val="884834496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bCs/>
          <w:i/>
          <w:iCs/>
          <w:color w:val="auto"/>
          <w:sz w:val="22"/>
          <w:szCs w:val="22"/>
          <w:lang w:eastAsia="cs-CZ"/>
        </w:rPr>
      </w:sdtEndPr>
      <w:sdtContent>
        <w:p w:rsidR="00B721E8" w:rsidRPr="008B567A" w:rsidRDefault="00B721E8" w:rsidP="00E35C8B">
          <w:pPr>
            <w:pStyle w:val="Styl2"/>
            <w:numPr>
              <w:ilvl w:val="0"/>
              <w:numId w:val="7"/>
            </w:numPr>
            <w:spacing w:before="240"/>
            <w:jc w:val="both"/>
          </w:pPr>
          <w:r w:rsidRPr="008B567A">
            <w:t xml:space="preserve">Podrobnější popis souladu projektu </w:t>
          </w:r>
          <w:r w:rsidR="00BA037C" w:rsidRPr="008B567A">
            <w:t xml:space="preserve">s doménami inteligentní specializace </w:t>
          </w:r>
        </w:p>
        <w:p w:rsidR="00244A60" w:rsidRDefault="00B721E8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Žadatel uvede, jakým způsobem je výzkumný záměr předkládaného projektu v souladu s doménami inteligentní specializace RIS3, které identifikoval v matici výše.</w:t>
          </w:r>
          <w:r w:rsid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Žadatel </w:t>
          </w:r>
          <w:r w:rsidR="005E4EF1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popíše soulad projektového záměru </w:t>
          </w:r>
          <w:r w:rsidR="005E4EF1" w:rsidRPr="00244A60">
            <w:rPr>
              <w:rFonts w:asciiTheme="minorHAnsi" w:eastAsia="Arial" w:hAnsiTheme="minorHAnsi" w:cs="Arial"/>
              <w:color w:val="auto"/>
              <w:lang w:eastAsia="cs-CZ"/>
            </w:rPr>
            <w:t>s 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konkrétními VaV/aplikačními tématy popsanými v jednotlivých kapitolách 2.1.1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-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2.8.5</w:t>
          </w:r>
          <w:r w:rsidR="00BA037C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5E4EF1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Přílohy č. 3 Výzvy „Podkladový materiál pro implementaci Národní RIS3 strategie“</w:t>
          </w:r>
          <w:r w:rsidR="00244A60" w:rsidRP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.</w:t>
          </w:r>
          <w:r w:rsidR="00244A60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</w:p>
        <w:p w:rsidR="004E22FC" w:rsidRDefault="00244A60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Pozn.: Výčet VaV/aplikačních témat nalezne Žadatel vždy v tabulkové pasáži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„Popis potřeb daného odvětví a jejich řešení“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odvětvové karty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v dané relevantní kapitole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, která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je dále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doplněna podkladovou </w:t>
          </w:r>
          <w:r w:rsidR="009F7C9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přílohou k dané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kapitole, která </w:t>
          </w: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případně </w:t>
          </w:r>
          <w:r w:rsidR="00E35C8B" w:rsidRP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rozepisuje některá témata více dopodrobna</w:t>
          </w:r>
          <w:r w:rsidR="00E35C8B" w:rsidRPr="00244A60">
            <w:rPr>
              <w:rStyle w:val="Znakapoznpodarou"/>
              <w:rFonts w:eastAsia="Arial" w:cs="Arial"/>
              <w:color w:val="auto"/>
              <w:lang w:eastAsia="cs-CZ"/>
            </w:rPr>
            <w:footnoteReference w:id="9"/>
          </w:r>
          <w:r w:rsidR="005E4EF1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). </w:t>
          </w:r>
        </w:p>
        <w:p w:rsidR="003C3DB9" w:rsidRPr="008B567A" w:rsidRDefault="004E22FC" w:rsidP="008B567A">
          <w:pPr>
            <w:pStyle w:val="Nadpis4"/>
            <w:numPr>
              <w:ilvl w:val="0"/>
              <w:numId w:val="0"/>
            </w:numPr>
            <w:spacing w:before="0" w:after="120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M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ax 1</w:t>
          </w:r>
          <w:r w:rsidR="00202AD5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,5 normostrany textu</w:t>
          </w:r>
          <w:r w:rsidR="000252F9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.</w:t>
          </w:r>
        </w:p>
      </w:sdtContent>
    </w:sdt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3DB9" w:rsidTr="003C3DB9">
        <w:tc>
          <w:tcPr>
            <w:tcW w:w="9212" w:type="dxa"/>
          </w:tcPr>
          <w:p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  <w:p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9F7C9A" w:rsidRDefault="009F7C9A" w:rsidP="00637E3F">
            <w:pPr>
              <w:pStyle w:val="Default"/>
              <w:jc w:val="both"/>
              <w:rPr>
                <w:szCs w:val="18"/>
              </w:rPr>
            </w:pPr>
          </w:p>
          <w:p w:rsidR="00E35C8B" w:rsidRDefault="00E35C8B" w:rsidP="00637E3F">
            <w:pPr>
              <w:pStyle w:val="Default"/>
              <w:jc w:val="both"/>
              <w:rPr>
                <w:szCs w:val="18"/>
              </w:rPr>
            </w:pPr>
          </w:p>
          <w:p w:rsidR="00E35C8B" w:rsidRDefault="00E35C8B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681091" w:rsidRDefault="00681091" w:rsidP="00637E3F">
            <w:pPr>
              <w:pStyle w:val="Default"/>
              <w:jc w:val="both"/>
              <w:rPr>
                <w:szCs w:val="18"/>
              </w:rPr>
            </w:pPr>
          </w:p>
          <w:p w:rsidR="003C3DB9" w:rsidRDefault="003C3DB9" w:rsidP="00637E3F">
            <w:pPr>
              <w:pStyle w:val="Default"/>
              <w:jc w:val="both"/>
              <w:rPr>
                <w:szCs w:val="18"/>
              </w:rPr>
            </w:pPr>
          </w:p>
        </w:tc>
      </w:tr>
    </w:tbl>
    <w:p w:rsidR="003C3DB9" w:rsidRDefault="003C3DB9" w:rsidP="00637E3F">
      <w:pPr>
        <w:pStyle w:val="Default"/>
        <w:jc w:val="both"/>
        <w:rPr>
          <w:szCs w:val="18"/>
        </w:rPr>
      </w:pPr>
    </w:p>
    <w:sdt>
      <w:sdtPr>
        <w:id w:val="-1653367599"/>
        <w:lock w:val="contentLocked"/>
        <w:placeholder>
          <w:docPart w:val="DefaultPlaceholder_1082065158"/>
        </w:placeholder>
        <w:group/>
      </w:sdtPr>
      <w:sdtEndPr>
        <w:rPr>
          <w:rFonts w:eastAsia="Arial" w:cs="Arial"/>
          <w:b w:val="0"/>
          <w:bCs/>
          <w:i/>
          <w:iCs/>
          <w:color w:val="auto"/>
          <w:sz w:val="22"/>
          <w:szCs w:val="22"/>
          <w:lang w:eastAsia="cs-CZ"/>
        </w:rPr>
      </w:sdtEndPr>
      <w:sdtContent>
        <w:p w:rsidR="008B567A" w:rsidRPr="000252F9" w:rsidRDefault="000252F9" w:rsidP="000252F9">
          <w:pPr>
            <w:pStyle w:val="Styl2"/>
            <w:numPr>
              <w:ilvl w:val="0"/>
              <w:numId w:val="7"/>
            </w:numPr>
            <w:jc w:val="left"/>
          </w:pPr>
          <w:r w:rsidRPr="000252F9">
            <w:t>Dosavadní významné vědecké výsledky Žadatele a jejich uplatnění v aplikacích</w:t>
          </w:r>
        </w:p>
        <w:p w:rsidR="000B213B" w:rsidRDefault="003E429D" w:rsidP="00E35C8B">
          <w:pPr>
            <w:pStyle w:val="Nadpis4"/>
            <w:numPr>
              <w:ilvl w:val="0"/>
              <w:numId w:val="0"/>
            </w:numPr>
            <w:spacing w:before="0" w:after="120"/>
            <w:jc w:val="both"/>
            <w:rPr>
              <w:rFonts w:asciiTheme="minorHAnsi" w:eastAsia="Arial" w:hAnsiTheme="minorHAnsi" w:cs="Arial"/>
              <w:b w:val="0"/>
              <w:color w:val="auto"/>
              <w:lang w:eastAsia="cs-CZ"/>
            </w:rPr>
          </w:pPr>
          <w:r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Ž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adatel popíše, jakým způsobem </w:t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aktuálně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přispěl k produkci výstupů/výsledků VaVaI v dané znalostní doméně (/doménách) a jak se tyto výsledky uplatnily v konkrétních aplikačních odvětvích/tématech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-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např.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: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odborné články/publikace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/kapitoly publikací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, patenty/patentové přihlášky, expertní práce pro externí zadavatele, společné projekty s firmami nebo státní správou, komercializace IP, založení spin-off firem apod. Žadatel uvede </w:t>
          </w:r>
          <w:r w:rsidR="00F00CB6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tři nejvýznamnější</w:t>
          </w:r>
          <w:r w:rsidR="00EA09F4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recentní</w:t>
          </w:r>
          <w:r w:rsidR="0099154C">
            <w:rPr>
              <w:rStyle w:val="Znakapoznpodarou"/>
              <w:rFonts w:asciiTheme="minorHAnsi" w:eastAsia="Arial" w:hAnsiTheme="minorHAnsi" w:cs="Arial"/>
              <w:b w:val="0"/>
              <w:color w:val="auto"/>
              <w:lang w:eastAsia="cs-CZ"/>
            </w:rPr>
            <w:footnoteReference w:id="10"/>
          </w:r>
          <w:r w:rsidR="00E35C8B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 </w:t>
          </w:r>
          <w:r w:rsidR="00F00CB6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 xml:space="preserve">výstupy/výsledky </w:t>
          </w:r>
          <w:r w:rsidR="00EA09F4" w:rsidRPr="008B567A">
            <w:rPr>
              <w:rFonts w:asciiTheme="minorHAnsi" w:eastAsia="Arial" w:hAnsiTheme="minorHAnsi" w:cs="Arial"/>
              <w:b w:val="0"/>
              <w:color w:val="auto"/>
              <w:lang w:eastAsia="cs-CZ"/>
            </w:rPr>
            <w:t>VaVaI s prokazatelnou relevancí vůči výzkumnému záměru předkládaného projektu.</w:t>
          </w:r>
        </w:p>
      </w:sdtContent>
    </w:sdt>
    <w:p w:rsidR="009F7C9A" w:rsidRPr="009F7C9A" w:rsidRDefault="009F7C9A" w:rsidP="009F7C9A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:rsidTr="00681091">
        <w:tc>
          <w:tcPr>
            <w:tcW w:w="2042" w:type="pct"/>
          </w:tcPr>
          <w:p w:rsidR="00681091" w:rsidRPr="003621BD" w:rsidRDefault="00681091" w:rsidP="00681091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lastRenderedPageBreak/>
              <w:t xml:space="preserve">Výsledek </w:t>
            </w:r>
            <w:proofErr w:type="spellStart"/>
            <w:r w:rsidRPr="003621BD">
              <w:rPr>
                <w:b/>
                <w:sz w:val="20"/>
              </w:rPr>
              <w:t>VaVaI</w:t>
            </w:r>
            <w:proofErr w:type="spellEnd"/>
            <w:r w:rsidRPr="003621BD">
              <w:rPr>
                <w:b/>
                <w:sz w:val="20"/>
              </w:rPr>
              <w:t xml:space="preserve"> č. 1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:rsidR="00681091" w:rsidRPr="000B213B" w:rsidRDefault="00681091" w:rsidP="00E35C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popis relevance </w:t>
            </w:r>
            <w:r w:rsidR="00E35C8B">
              <w:rPr>
                <w:sz w:val="20"/>
              </w:rPr>
              <w:t xml:space="preserve">vzhledem </w:t>
            </w:r>
            <w:r w:rsidRPr="000B213B">
              <w:rPr>
                <w:sz w:val="20"/>
              </w:rPr>
              <w:t>k </w:t>
            </w:r>
            <w:proofErr w:type="spellStart"/>
            <w:r w:rsidRPr="000B213B">
              <w:rPr>
                <w:sz w:val="20"/>
              </w:rPr>
              <w:t>VaV</w:t>
            </w:r>
            <w:proofErr w:type="spellEnd"/>
            <w:r w:rsidRPr="000B213B">
              <w:rPr>
                <w:sz w:val="20"/>
              </w:rPr>
              <w:t xml:space="preserve"> </w:t>
            </w:r>
            <w:r w:rsidR="00E35C8B">
              <w:rPr>
                <w:sz w:val="20"/>
              </w:rPr>
              <w:t>zaměření předkládaného</w:t>
            </w:r>
            <w:r w:rsidR="003621BD">
              <w:rPr>
                <w:sz w:val="20"/>
              </w:rPr>
              <w:t xml:space="preserve"> projekt</w:t>
            </w:r>
            <w:r w:rsidR="00E35C8B">
              <w:rPr>
                <w:sz w:val="20"/>
              </w:rPr>
              <w:t>u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681091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:rsidR="00681091" w:rsidRPr="000B213B" w:rsidRDefault="003621BD" w:rsidP="00681091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Pr="000B213B">
              <w:rPr>
                <w:sz w:val="20"/>
              </w:rPr>
              <w:t>WWW odkaz na více informací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E35C8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  <w:tr w:rsidR="00681091" w:rsidTr="00681091">
        <w:tc>
          <w:tcPr>
            <w:tcW w:w="2042" w:type="pct"/>
          </w:tcPr>
          <w:p w:rsidR="00681091" w:rsidRPr="000B213B" w:rsidRDefault="00681091" w:rsidP="003621BD">
            <w:pPr>
              <w:rPr>
                <w:sz w:val="20"/>
              </w:rPr>
            </w:pPr>
            <w:r>
              <w:rPr>
                <w:sz w:val="20"/>
              </w:rPr>
              <w:t>Vz</w:t>
            </w:r>
            <w:r w:rsidR="00644A9F">
              <w:rPr>
                <w:sz w:val="20"/>
              </w:rPr>
              <w:t>nikl výsledek v přímé spolupráci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681091">
            <w:pPr>
              <w:rPr>
                <w:lang w:eastAsia="cs-CZ" w:bidi="ar-SA"/>
              </w:rPr>
            </w:pPr>
          </w:p>
        </w:tc>
      </w:tr>
    </w:tbl>
    <w:p w:rsidR="00681091" w:rsidRDefault="00681091" w:rsidP="00681091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:rsidTr="00B40BBB">
        <w:tc>
          <w:tcPr>
            <w:tcW w:w="2042" w:type="pct"/>
          </w:tcPr>
          <w:p w:rsidR="00681091" w:rsidRPr="003621BD" w:rsidRDefault="00681091" w:rsidP="00B40BBB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 xml:space="preserve">Výsledek </w:t>
            </w:r>
            <w:proofErr w:type="spellStart"/>
            <w:r w:rsidRPr="003621BD">
              <w:rPr>
                <w:b/>
                <w:sz w:val="20"/>
              </w:rPr>
              <w:t>VaVaI</w:t>
            </w:r>
            <w:proofErr w:type="spellEnd"/>
            <w:r w:rsidRPr="003621BD">
              <w:rPr>
                <w:b/>
                <w:sz w:val="20"/>
              </w:rPr>
              <w:t xml:space="preserve"> č. 2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</w:t>
            </w:r>
            <w:r w:rsidR="00E35C8B" w:rsidRPr="000B213B">
              <w:rPr>
                <w:sz w:val="20"/>
              </w:rPr>
              <w:t xml:space="preserve">popis relevance </w:t>
            </w:r>
            <w:r w:rsidR="00E35C8B">
              <w:rPr>
                <w:sz w:val="20"/>
              </w:rPr>
              <w:t xml:space="preserve">vzhledem </w:t>
            </w:r>
            <w:r w:rsidR="00E35C8B" w:rsidRPr="000B213B">
              <w:rPr>
                <w:sz w:val="20"/>
              </w:rPr>
              <w:t>k </w:t>
            </w:r>
            <w:proofErr w:type="spellStart"/>
            <w:r w:rsidR="00E35C8B" w:rsidRPr="000B213B">
              <w:rPr>
                <w:sz w:val="20"/>
              </w:rPr>
              <w:t>VaV</w:t>
            </w:r>
            <w:proofErr w:type="spellEnd"/>
            <w:r w:rsidR="00E35C8B" w:rsidRPr="000B213B">
              <w:rPr>
                <w:sz w:val="20"/>
              </w:rPr>
              <w:t xml:space="preserve"> </w:t>
            </w:r>
            <w:r w:rsidR="00E35C8B"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:rsidR="00681091" w:rsidRPr="000B213B" w:rsidRDefault="003621BD" w:rsidP="003621BD">
            <w:pPr>
              <w:rPr>
                <w:sz w:val="20"/>
              </w:rPr>
            </w:pPr>
            <w:r>
              <w:rPr>
                <w:sz w:val="20"/>
              </w:rPr>
              <w:t>Příp.</w:t>
            </w:r>
            <w:r w:rsidR="00681091" w:rsidRPr="000B213B">
              <w:rPr>
                <w:sz w:val="20"/>
              </w:rPr>
              <w:t xml:space="preserve"> WWW odkaz na více informací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A0022F">
            <w:pPr>
              <w:rPr>
                <w:sz w:val="20"/>
              </w:rPr>
            </w:pPr>
            <w:r>
              <w:rPr>
                <w:sz w:val="20"/>
              </w:rPr>
              <w:t>Vz</w:t>
            </w:r>
            <w:r w:rsidR="00644A9F">
              <w:rPr>
                <w:sz w:val="20"/>
              </w:rPr>
              <w:t>nikl výsledek v přímé spolupráci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</w:tbl>
    <w:p w:rsidR="00681091" w:rsidRDefault="00681091" w:rsidP="00681091">
      <w:pPr>
        <w:rPr>
          <w:lang w:eastAsia="cs-CZ" w:bidi="ar-SA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793"/>
        <w:gridCol w:w="5495"/>
      </w:tblGrid>
      <w:tr w:rsidR="00681091" w:rsidTr="00B40BBB">
        <w:tc>
          <w:tcPr>
            <w:tcW w:w="2042" w:type="pct"/>
          </w:tcPr>
          <w:p w:rsidR="00681091" w:rsidRPr="003621BD" w:rsidRDefault="00681091" w:rsidP="00B40BBB">
            <w:pPr>
              <w:rPr>
                <w:b/>
                <w:sz w:val="20"/>
              </w:rPr>
            </w:pPr>
            <w:r w:rsidRPr="003621BD">
              <w:rPr>
                <w:b/>
                <w:sz w:val="20"/>
              </w:rPr>
              <w:t xml:space="preserve">Výsledek </w:t>
            </w:r>
            <w:proofErr w:type="spellStart"/>
            <w:r w:rsidRPr="003621BD">
              <w:rPr>
                <w:b/>
                <w:sz w:val="20"/>
              </w:rPr>
              <w:t>VaVaI</w:t>
            </w:r>
            <w:proofErr w:type="spellEnd"/>
            <w:r w:rsidRPr="003621BD">
              <w:rPr>
                <w:b/>
                <w:sz w:val="20"/>
              </w:rPr>
              <w:t xml:space="preserve"> č. 3</w:t>
            </w:r>
            <w:r w:rsidR="003E429D">
              <w:rPr>
                <w:b/>
                <w:sz w:val="20"/>
              </w:rPr>
              <w:t xml:space="preserve"> </w:t>
            </w:r>
            <w:r w:rsidR="003E429D" w:rsidRPr="003E429D">
              <w:rPr>
                <w:i/>
                <w:sz w:val="20"/>
              </w:rPr>
              <w:t>(název/identifikace)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Typ výsledku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i/>
                <w:sz w:val="20"/>
              </w:rPr>
              <w:t xml:space="preserve">(odborný </w:t>
            </w:r>
            <w:r w:rsidR="006B2AF5">
              <w:rPr>
                <w:i/>
                <w:sz w:val="20"/>
              </w:rPr>
              <w:t>článek/publikace/</w:t>
            </w:r>
            <w:r w:rsidRPr="000B213B">
              <w:rPr>
                <w:i/>
                <w:sz w:val="20"/>
              </w:rPr>
              <w:t>patent apod.)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Stručný popis podstaty a významu výsledku;</w:t>
            </w:r>
          </w:p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popis uplatnění výsledku v konkrétních aplikacích; </w:t>
            </w:r>
            <w:r w:rsidR="00E35C8B" w:rsidRPr="000B213B">
              <w:rPr>
                <w:sz w:val="20"/>
              </w:rPr>
              <w:t xml:space="preserve">popis relevance </w:t>
            </w:r>
            <w:r w:rsidR="00E35C8B">
              <w:rPr>
                <w:sz w:val="20"/>
              </w:rPr>
              <w:t xml:space="preserve">vzhledem </w:t>
            </w:r>
            <w:r w:rsidR="00E35C8B" w:rsidRPr="000B213B">
              <w:rPr>
                <w:sz w:val="20"/>
              </w:rPr>
              <w:t>k </w:t>
            </w:r>
            <w:proofErr w:type="spellStart"/>
            <w:r w:rsidR="00E35C8B" w:rsidRPr="000B213B">
              <w:rPr>
                <w:sz w:val="20"/>
              </w:rPr>
              <w:t>VaV</w:t>
            </w:r>
            <w:proofErr w:type="spellEnd"/>
            <w:r w:rsidR="00E35C8B" w:rsidRPr="000B213B">
              <w:rPr>
                <w:sz w:val="20"/>
              </w:rPr>
              <w:t xml:space="preserve"> </w:t>
            </w:r>
            <w:r w:rsidR="00E35C8B">
              <w:rPr>
                <w:sz w:val="20"/>
              </w:rPr>
              <w:t>zaměření předkládaného projektu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>Doplňkové informace (např. IF a počet citací v případě odborných článků apod.);</w:t>
            </w:r>
          </w:p>
          <w:p w:rsidR="00681091" w:rsidRPr="000B213B" w:rsidRDefault="003621BD" w:rsidP="003621BD">
            <w:pPr>
              <w:rPr>
                <w:sz w:val="20"/>
              </w:rPr>
            </w:pPr>
            <w:r>
              <w:rPr>
                <w:sz w:val="20"/>
              </w:rPr>
              <w:t xml:space="preserve">Příp. </w:t>
            </w:r>
            <w:r w:rsidR="00681091" w:rsidRPr="000B213B">
              <w:rPr>
                <w:sz w:val="20"/>
              </w:rPr>
              <w:t xml:space="preserve">WWW odkaz na více informací 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B40BBB">
            <w:pPr>
              <w:rPr>
                <w:sz w:val="20"/>
              </w:rPr>
            </w:pPr>
            <w:r w:rsidRPr="000B213B">
              <w:rPr>
                <w:sz w:val="20"/>
              </w:rPr>
              <w:t xml:space="preserve">Přímá participace člena/ů realizačního týmu předkládaného projektu na tomto výsledku? </w:t>
            </w:r>
            <w:r w:rsidRPr="00252593">
              <w:rPr>
                <w:i/>
                <w:sz w:val="20"/>
              </w:rPr>
              <w:t>(ano</w:t>
            </w:r>
            <w:r>
              <w:rPr>
                <w:i/>
                <w:sz w:val="20"/>
              </w:rPr>
              <w:t>/ne</w:t>
            </w:r>
            <w:r w:rsidRPr="00252593">
              <w:rPr>
                <w:i/>
                <w:sz w:val="20"/>
              </w:rPr>
              <w:t xml:space="preserve"> </w:t>
            </w:r>
            <w:r w:rsidRPr="00252593">
              <w:rPr>
                <w:i/>
                <w:sz w:val="20"/>
              </w:rPr>
              <w:sym w:font="Wingdings" w:char="F0E0"/>
            </w:r>
            <w:r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  <w:tr w:rsidR="00681091" w:rsidTr="00B40BBB">
        <w:tc>
          <w:tcPr>
            <w:tcW w:w="2042" w:type="pct"/>
          </w:tcPr>
          <w:p w:rsidR="00681091" w:rsidRPr="000B213B" w:rsidRDefault="00681091" w:rsidP="00644A9F">
            <w:pPr>
              <w:rPr>
                <w:sz w:val="20"/>
              </w:rPr>
            </w:pPr>
            <w:r>
              <w:rPr>
                <w:sz w:val="20"/>
              </w:rPr>
              <w:t>Vznikl výsledek v přímé spoluprác</w:t>
            </w:r>
            <w:r w:rsidR="00644A9F">
              <w:rPr>
                <w:sz w:val="20"/>
              </w:rPr>
              <w:t>i</w:t>
            </w:r>
            <w:r>
              <w:rPr>
                <w:sz w:val="20"/>
              </w:rPr>
              <w:t xml:space="preserve"> Žadatele s aplikační sférou (firmami či státní správou)? </w:t>
            </w:r>
            <w:r w:rsidRPr="00252593">
              <w:rPr>
                <w:i/>
                <w:sz w:val="20"/>
              </w:rPr>
              <w:t xml:space="preserve">(ano/ne </w:t>
            </w:r>
            <w:r w:rsidRPr="00252593">
              <w:rPr>
                <w:i/>
                <w:sz w:val="20"/>
              </w:rPr>
              <w:sym w:font="Wingdings" w:char="F0E0"/>
            </w:r>
            <w:r w:rsidR="00A0022F">
              <w:rPr>
                <w:i/>
                <w:sz w:val="20"/>
              </w:rPr>
              <w:t xml:space="preserve"> pokud ano, </w:t>
            </w:r>
            <w:r w:rsidR="00E35C8B">
              <w:rPr>
                <w:i/>
                <w:sz w:val="20"/>
              </w:rPr>
              <w:t>popište</w:t>
            </w:r>
            <w:r w:rsidRPr="00252593">
              <w:rPr>
                <w:i/>
                <w:sz w:val="20"/>
              </w:rPr>
              <w:t>)</w:t>
            </w:r>
          </w:p>
        </w:tc>
        <w:tc>
          <w:tcPr>
            <w:tcW w:w="2958" w:type="pct"/>
          </w:tcPr>
          <w:p w:rsidR="00681091" w:rsidRDefault="00681091" w:rsidP="00B40BBB">
            <w:pPr>
              <w:rPr>
                <w:lang w:eastAsia="cs-CZ" w:bidi="ar-SA"/>
              </w:rPr>
            </w:pPr>
          </w:p>
        </w:tc>
      </w:tr>
    </w:tbl>
    <w:p w:rsidR="00681091" w:rsidRPr="00681091" w:rsidRDefault="00681091" w:rsidP="00681091">
      <w:pPr>
        <w:rPr>
          <w:lang w:eastAsia="cs-CZ" w:bidi="ar-SA"/>
        </w:rPr>
      </w:pPr>
    </w:p>
    <w:sectPr w:rsidR="00681091" w:rsidRPr="0068109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92" w:rsidRDefault="00B52492" w:rsidP="007E3103">
      <w:pPr>
        <w:spacing w:after="0" w:line="240" w:lineRule="auto"/>
      </w:pPr>
      <w:r>
        <w:separator/>
      </w:r>
    </w:p>
  </w:endnote>
  <w:endnote w:type="continuationSeparator" w:id="0">
    <w:p w:rsidR="00B52492" w:rsidRDefault="00B52492" w:rsidP="007E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70440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69504" behindDoc="1" locked="1" layoutInCell="1" allowOverlap="0" wp14:anchorId="0EBA947B" wp14:editId="26DEF36C">
              <wp:simplePos x="0" y="0"/>
              <wp:positionH relativeFrom="margin">
                <wp:posOffset>833120</wp:posOffset>
              </wp:positionH>
              <wp:positionV relativeFrom="paragraph">
                <wp:posOffset>-292100</wp:posOffset>
              </wp:positionV>
              <wp:extent cx="4661535" cy="1033145"/>
              <wp:effectExtent l="0" t="0" r="5715" b="0"/>
              <wp:wrapNone/>
              <wp:docPr id="9" name="Obrázek 9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9F6796">
          <w:rPr>
            <w:rFonts w:asciiTheme="minorHAnsi" w:hAnsiTheme="minorHAnsi"/>
            <w:noProof/>
          </w:rPr>
          <w:t>1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8671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73600" behindDoc="1" locked="1" layoutInCell="1" allowOverlap="0" wp14:anchorId="2BBC8172" wp14:editId="79BEC98D">
              <wp:simplePos x="0" y="0"/>
              <wp:positionH relativeFrom="margin">
                <wp:posOffset>5119370</wp:posOffset>
              </wp:positionH>
              <wp:positionV relativeFrom="paragraph">
                <wp:posOffset>-339725</wp:posOffset>
              </wp:positionV>
              <wp:extent cx="4661535" cy="1033145"/>
              <wp:effectExtent l="0" t="0" r="5715" b="0"/>
              <wp:wrapNone/>
              <wp:docPr id="11" name="Obrázek 11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1C67E2">
          <w:rPr>
            <w:rFonts w:asciiTheme="minorHAnsi" w:hAnsiTheme="minorHAnsi"/>
            <w:noProof/>
          </w:rPr>
          <w:t>2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36684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40BBB" w:rsidRPr="001D4C53" w:rsidRDefault="00B40BBB">
        <w:pPr>
          <w:pStyle w:val="Zpat"/>
          <w:jc w:val="right"/>
          <w:rPr>
            <w:rFonts w:asciiTheme="minorHAnsi" w:hAnsiTheme="minorHAnsi"/>
          </w:rPr>
        </w:pPr>
        <w:r w:rsidRPr="001D4C53">
          <w:rPr>
            <w:rFonts w:asciiTheme="minorHAnsi" w:hAnsiTheme="minorHAnsi"/>
            <w:noProof/>
            <w:lang w:eastAsia="cs-CZ" w:bidi="ar-SA"/>
          </w:rPr>
          <w:drawing>
            <wp:anchor distT="0" distB="0" distL="114300" distR="114300" simplePos="0" relativeHeight="251671552" behindDoc="1" locked="1" layoutInCell="1" allowOverlap="0" wp14:anchorId="6769F522" wp14:editId="66EE1488">
              <wp:simplePos x="0" y="0"/>
              <wp:positionH relativeFrom="margin">
                <wp:posOffset>826770</wp:posOffset>
              </wp:positionH>
              <wp:positionV relativeFrom="paragraph">
                <wp:posOffset>-50165</wp:posOffset>
              </wp:positionV>
              <wp:extent cx="4661535" cy="1033145"/>
              <wp:effectExtent l="0" t="0" r="5715" b="0"/>
              <wp:wrapNone/>
              <wp:docPr id="14" name="Obrázek 14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rPr>
            <w:rFonts w:asciiTheme="minorHAnsi" w:hAnsiTheme="minorHAnsi"/>
          </w:rPr>
          <w:fldChar w:fldCharType="begin"/>
        </w:r>
        <w:r w:rsidRPr="001D4C53">
          <w:rPr>
            <w:rFonts w:asciiTheme="minorHAnsi" w:hAnsiTheme="minorHAnsi"/>
          </w:rPr>
          <w:instrText>PAGE   \* MERGEFORMAT</w:instrText>
        </w:r>
        <w:r w:rsidRPr="001D4C53">
          <w:rPr>
            <w:rFonts w:asciiTheme="minorHAnsi" w:hAnsiTheme="minorHAnsi"/>
          </w:rPr>
          <w:fldChar w:fldCharType="separate"/>
        </w:r>
        <w:r w:rsidR="001C67E2">
          <w:rPr>
            <w:rFonts w:asciiTheme="minorHAnsi" w:hAnsiTheme="minorHAnsi"/>
            <w:noProof/>
          </w:rPr>
          <w:t>4</w:t>
        </w:r>
        <w:r w:rsidRPr="001D4C53">
          <w:rPr>
            <w:rFonts w:asciiTheme="minorHAnsi" w:hAnsiTheme="minorHAnsi"/>
          </w:rPr>
          <w:fldChar w:fldCharType="end"/>
        </w:r>
      </w:p>
    </w:sdtContent>
  </w:sdt>
  <w:p w:rsidR="00B40BBB" w:rsidRDefault="00B40BBB" w:rsidP="006426D8">
    <w:pPr>
      <w:pStyle w:val="Zpat"/>
      <w:tabs>
        <w:tab w:val="clear" w:pos="9072"/>
        <w:tab w:val="left" w:pos="6075"/>
      </w:tabs>
    </w:pPr>
    <w:r>
      <w:tab/>
    </w:r>
    <w:r>
      <w:tab/>
    </w:r>
  </w:p>
  <w:p w:rsidR="00B40BBB" w:rsidRPr="003F5D09" w:rsidRDefault="00B40BBB" w:rsidP="003F5D09">
    <w:pPr>
      <w:pStyle w:val="Zpat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92" w:rsidRDefault="00B52492" w:rsidP="007E3103">
      <w:pPr>
        <w:spacing w:after="0" w:line="240" w:lineRule="auto"/>
      </w:pPr>
      <w:r>
        <w:separator/>
      </w:r>
    </w:p>
  </w:footnote>
  <w:footnote w:type="continuationSeparator" w:id="0">
    <w:p w:rsidR="00B52492" w:rsidRDefault="00B52492" w:rsidP="007E3103">
      <w:pPr>
        <w:spacing w:after="0" w:line="240" w:lineRule="auto"/>
      </w:pPr>
      <w:r>
        <w:continuationSeparator/>
      </w:r>
    </w:p>
  </w:footnote>
  <w:footnote w:id="1">
    <w:sdt>
      <w:sdtPr>
        <w:id w:val="1215321161"/>
        <w:lock w:val="contentLocked"/>
        <w:placeholder>
          <w:docPart w:val="DefaultPlaceholder_1082065158"/>
        </w:placeholder>
        <w:group/>
      </w:sdtPr>
      <w:sdtEndPr>
        <w:rPr>
          <w:b/>
          <w:sz w:val="18"/>
          <w:szCs w:val="18"/>
        </w:rPr>
      </w:sdtEndPr>
      <w:sdtContent>
        <w:p w:rsidR="00B40BBB" w:rsidRPr="00E21CE4" w:rsidRDefault="00B40BBB" w:rsidP="007E3103">
          <w:pPr>
            <w:pStyle w:val="Textpoznpodarou"/>
            <w:rPr>
              <w:b/>
            </w:rPr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E21CE4">
            <w:rPr>
              <w:b/>
            </w:rPr>
            <w:t xml:space="preserve">V průběhu „entrepreneurial discovery“ procesu v rámci </w:t>
          </w:r>
          <w:r>
            <w:rPr>
              <w:b/>
            </w:rPr>
            <w:t>Národních inovačních platforem</w:t>
          </w:r>
          <w:r w:rsidRPr="00E21CE4">
            <w:rPr>
              <w:b/>
            </w:rPr>
            <w:t xml:space="preserve"> byla identifikována relevance generických znal</w:t>
          </w:r>
          <w:r w:rsidRPr="00C861D7">
            <w:rPr>
              <w:b/>
            </w:rPr>
            <w:t>ostních domén (tj. KETs doplně</w:t>
          </w:r>
          <w:r>
            <w:rPr>
              <w:b/>
            </w:rPr>
            <w:t>ných</w:t>
          </w:r>
          <w:r w:rsidRPr="00E21CE4">
            <w:rPr>
              <w:b/>
            </w:rPr>
            <w:t xml:space="preserve"> o dvě netechnologické znalostní domény) vůči národním prioritním aplikačním odvětvím/tématům</w:t>
          </w:r>
          <w:r>
            <w:rPr>
              <w:b/>
            </w:rPr>
            <w:t xml:space="preserve"> ve smyslu potenciálu/</w:t>
          </w:r>
          <w:r w:rsidRPr="00E21CE4">
            <w:rPr>
              <w:b/>
            </w:rPr>
            <w:t>využitelnost</w:t>
          </w:r>
          <w:r>
            <w:rPr>
              <w:b/>
            </w:rPr>
            <w:t>i</w:t>
          </w:r>
          <w:r w:rsidRPr="00E21CE4">
            <w:rPr>
              <w:b/>
            </w:rPr>
            <w:t xml:space="preserve"> znalostních domén v těchto prioritizovaných aplikačních odvětvích</w:t>
          </w:r>
          <w:r w:rsidRPr="00E21CE4">
            <w:rPr>
              <w:b/>
              <w:sz w:val="18"/>
              <w:szCs w:val="18"/>
            </w:rPr>
            <w:t xml:space="preserve">. Tyto </w:t>
          </w:r>
          <w:r>
            <w:rPr>
              <w:b/>
              <w:sz w:val="18"/>
              <w:szCs w:val="18"/>
            </w:rPr>
            <w:t xml:space="preserve">identifikované </w:t>
          </w:r>
          <w:r w:rsidRPr="00E21CE4">
            <w:rPr>
              <w:b/>
              <w:sz w:val="18"/>
              <w:szCs w:val="18"/>
            </w:rPr>
            <w:t xml:space="preserve">relevantní vazby </w:t>
          </w:r>
          <w:r>
            <w:rPr>
              <w:b/>
              <w:sz w:val="18"/>
              <w:szCs w:val="18"/>
            </w:rPr>
            <w:t xml:space="preserve">- </w:t>
          </w:r>
          <w:r w:rsidRPr="00E21CE4">
            <w:rPr>
              <w:b/>
              <w:sz w:val="18"/>
              <w:szCs w:val="18"/>
            </w:rPr>
            <w:t>DOMÉNY INTELIGENTNÍ SPECIALIZACE</w:t>
          </w:r>
          <w:r>
            <w:rPr>
              <w:b/>
              <w:sz w:val="18"/>
              <w:szCs w:val="18"/>
            </w:rPr>
            <w:t xml:space="preserve"> (tj. </w:t>
          </w:r>
          <w:r w:rsidRPr="00E21CE4">
            <w:rPr>
              <w:b/>
              <w:sz w:val="18"/>
              <w:szCs w:val="18"/>
            </w:rPr>
            <w:t>průniky generických znalostních domén a aplikačních odvětví</w:t>
          </w:r>
          <w:r>
            <w:rPr>
              <w:b/>
              <w:sz w:val="18"/>
              <w:szCs w:val="18"/>
            </w:rPr>
            <w:t>)</w:t>
          </w:r>
          <w:r w:rsidRPr="00E21CE4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JSOU V MATICI OZNAČENY</w:t>
          </w:r>
          <w:r w:rsidRPr="00E21CE4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ZAŠKRTÁVACÍM POLÍČKEM.</w:t>
          </w:r>
        </w:p>
      </w:sdtContent>
    </w:sdt>
  </w:footnote>
  <w:footnote w:id="2">
    <w:sdt>
      <w:sdtPr>
        <w:rPr>
          <w:sz w:val="18"/>
        </w:rPr>
        <w:id w:val="-556552649"/>
        <w:lock w:val="contentLocked"/>
        <w:placeholder>
          <w:docPart w:val="DefaultPlaceholder_1082065158"/>
        </w:placeholder>
        <w:group/>
      </w:sdtPr>
      <w:sdtContent>
        <w:p w:rsidR="00B40BBB" w:rsidRPr="00E21CE4" w:rsidRDefault="00B40BBB" w:rsidP="007E3103">
          <w:pPr>
            <w:pStyle w:val="Textpoznpodarou"/>
            <w:rPr>
              <w:sz w:val="18"/>
            </w:rPr>
          </w:pPr>
          <w:r w:rsidRPr="00E21CE4">
            <w:rPr>
              <w:rStyle w:val="Znakapoznpodarou"/>
              <w:sz w:val="18"/>
            </w:rPr>
            <w:footnoteRef/>
          </w:r>
          <w:r w:rsidRPr="00E21CE4">
            <w:rPr>
              <w:sz w:val="18"/>
            </w:rPr>
            <w:t xml:space="preserve"> Jednotlivá aplikační odvětví/témata se ve většině případů rozpadají na několik samostatných podtémat, která jsou podrobně předmětem kapitol 2.1.1-2.7.3 (resp. 2.8.5. – včetně krajsky specifických aplikačních odvětví/témat)</w:t>
          </w:r>
          <w:r>
            <w:rPr>
              <w:sz w:val="18"/>
            </w:rPr>
            <w:t xml:space="preserve"> Přílohy č. 3 Výzvy.</w:t>
          </w:r>
        </w:p>
      </w:sdtContent>
    </w:sdt>
  </w:footnote>
  <w:footnote w:id="3">
    <w:sdt>
      <w:sdtPr>
        <w:id w:val="1659493917"/>
        <w:lock w:val="contentLocked"/>
        <w:placeholder>
          <w:docPart w:val="DefaultPlaceholder_1082065158"/>
        </w:placeholder>
        <w:group/>
      </w:sdtPr>
      <w:sdtEndPr>
        <w:rPr>
          <w:sz w:val="18"/>
        </w:rPr>
      </w:sdtEndPr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C7424F">
            <w:rPr>
              <w:sz w:val="18"/>
              <w:szCs w:val="18"/>
            </w:rPr>
            <w:t xml:space="preserve">Více informací </w:t>
          </w:r>
          <w:r>
            <w:rPr>
              <w:sz w:val="18"/>
              <w:szCs w:val="18"/>
            </w:rPr>
            <w:t xml:space="preserve">k jednotlivým krajsky specifickým oblastem specializace viz kap. 2.8 Přílohy č. 3 Výzvy. </w:t>
          </w:r>
          <w:r w:rsidRPr="00E444E7">
            <w:rPr>
              <w:sz w:val="18"/>
            </w:rPr>
            <w:t xml:space="preserve">EDP v rámci </w:t>
          </w:r>
          <w:r>
            <w:rPr>
              <w:sz w:val="18"/>
            </w:rPr>
            <w:t>regionálních inovačních platforem</w:t>
          </w:r>
          <w:r w:rsidRPr="00E444E7">
            <w:rPr>
              <w:sz w:val="18"/>
            </w:rPr>
            <w:t xml:space="preserve"> </w:t>
          </w:r>
          <w:r>
            <w:rPr>
              <w:sz w:val="18"/>
            </w:rPr>
            <w:t>je zatím pouze na počátku identifikace VaVaI potřeb a příležitostí v daných oborech/odvětvích – průniky</w:t>
          </w:r>
          <w:r w:rsidRPr="00C82041">
            <w:rPr>
              <w:sz w:val="18"/>
            </w:rPr>
            <w:t xml:space="preserve"> </w:t>
          </w:r>
          <w:r w:rsidRPr="007D5B4B">
            <w:rPr>
              <w:sz w:val="18"/>
            </w:rPr>
            <w:t>generických</w:t>
          </w:r>
          <w:r>
            <w:rPr>
              <w:sz w:val="18"/>
            </w:rPr>
            <w:t xml:space="preserve"> znalostních domén s regionálními aplikačními tématy tak zatím nejsou</w:t>
          </w:r>
          <w:r w:rsidRPr="007D5B4B">
            <w:rPr>
              <w:sz w:val="18"/>
            </w:rPr>
            <w:t xml:space="preserve"> identifikovány</w:t>
          </w:r>
          <w:r w:rsidRPr="00E444E7">
            <w:rPr>
              <w:sz w:val="18"/>
            </w:rPr>
            <w:t>. V daný moment tudíž průniky nejsou omezeny, tj. relevantním průnikem je využitelnost kterékoliv generické znalostní domény v daném aplikačním tématu.</w:t>
          </w:r>
        </w:p>
      </w:sdtContent>
    </w:sdt>
  </w:footnote>
  <w:footnote w:id="4">
    <w:sdt>
      <w:sdtPr>
        <w:rPr>
          <w:sz w:val="18"/>
        </w:rPr>
        <w:id w:val="-676036220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sz w:val="18"/>
            </w:rPr>
            <w:id w:val="-1759739977"/>
            <w:lock w:val="contentLocked"/>
            <w:group/>
          </w:sdtPr>
          <w:sdtContent>
            <w:p w:rsidR="00B40BBB" w:rsidRDefault="00B40BBB" w:rsidP="007E3103">
              <w:pPr>
                <w:pStyle w:val="Textpoznpodarou"/>
              </w:pPr>
              <w:r w:rsidRPr="00E21CE4">
                <w:rPr>
                  <w:rStyle w:val="Znakapoznpodarou"/>
                  <w:sz w:val="18"/>
                </w:rPr>
                <w:footnoteRef/>
              </w:r>
              <w:r w:rsidRPr="00E21CE4">
                <w:rPr>
                  <w:sz w:val="18"/>
                </w:rPr>
                <w:t xml:space="preserve"> Relevantní průniky generických znalostních domén s aplikačním tém</w:t>
              </w:r>
              <w:r>
                <w:rPr>
                  <w:sz w:val="18"/>
                </w:rPr>
                <w:t>a</w:t>
              </w:r>
              <w:r w:rsidRPr="00E21CE4">
                <w:rPr>
                  <w:sz w:val="18"/>
                </w:rPr>
                <w:t>tem „Společenské výzvy“ nebyly v rámci EDP v relevantní NIP zatím identifikovány</w:t>
              </w:r>
              <w:r>
                <w:rPr>
                  <w:sz w:val="18"/>
                </w:rPr>
                <w:t>, neboť platforma je zatím pouze na počátku identifikace VaVaI potřeb a příležitostí v daných oblastech</w:t>
              </w:r>
              <w:r w:rsidRPr="00E21CE4">
                <w:rPr>
                  <w:sz w:val="18"/>
                </w:rPr>
                <w:t>. V daný moment tudíž průniky nejsou omezeny, tj. relevantním průnikem je využitelnost kterékoliv generické znalostní domény v daném aplikačním tématu.</w:t>
              </w:r>
            </w:p>
          </w:sdtContent>
        </w:sdt>
      </w:sdtContent>
    </w:sdt>
  </w:footnote>
  <w:footnote w:id="5">
    <w:sdt>
      <w:sdtPr>
        <w:id w:val="1134059706"/>
        <w:lock w:val="contentLocked"/>
        <w:group/>
      </w:sdtPr>
      <w:sdtEndPr>
        <w:rPr>
          <w:sz w:val="18"/>
          <w:szCs w:val="18"/>
        </w:rPr>
      </w:sdtEndPr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C7424F">
            <w:rPr>
              <w:sz w:val="18"/>
              <w:szCs w:val="18"/>
            </w:rPr>
            <w:t>Nové kulturní a kreativní průmysly jsou provázány s Digitální ekonomikou a digitálním obsahem</w:t>
          </w:r>
          <w:r>
            <w:rPr>
              <w:sz w:val="18"/>
              <w:szCs w:val="18"/>
            </w:rPr>
            <w:t>.</w:t>
          </w:r>
        </w:p>
      </w:sdtContent>
    </w:sdt>
  </w:footnote>
  <w:footnote w:id="6">
    <w:sdt>
      <w:sdtPr>
        <w:id w:val="-327911416"/>
        <w:lock w:val="contentLocked"/>
        <w:placeholder>
          <w:docPart w:val="DefaultPlaceholder_1082065158"/>
        </w:placeholder>
        <w:group/>
      </w:sdtPr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Generické znalostní domény jsou blíže popsány v kapitole 1.2.3 Přílohy č. 3 Výzvy</w:t>
          </w:r>
        </w:p>
      </w:sdtContent>
    </w:sdt>
  </w:footnote>
  <w:footnote w:id="7">
    <w:sdt>
      <w:sdtPr>
        <w:rPr>
          <w:sz w:val="18"/>
          <w:szCs w:val="18"/>
        </w:rPr>
        <w:id w:val="-1028336461"/>
        <w:lock w:val="contentLocked"/>
        <w:placeholder>
          <w:docPart w:val="DefaultPlaceholder_1082065158"/>
        </w:placeholder>
        <w:group/>
      </w:sdtPr>
      <w:sdtContent>
        <w:p w:rsidR="00B40BBB" w:rsidRPr="00DF3E1A" w:rsidRDefault="00B40BBB" w:rsidP="007E3103">
          <w:pPr>
            <w:pStyle w:val="Textpoznpodarou"/>
            <w:rPr>
              <w:b/>
            </w:rPr>
          </w:pPr>
          <w:r>
            <w:rPr>
              <w:rStyle w:val="Znakapoznpodarou"/>
            </w:rPr>
            <w:footnoteRef/>
          </w:r>
          <w:r w:rsidRPr="0042600E">
            <w:rPr>
              <w:sz w:val="18"/>
              <w:szCs w:val="18"/>
            </w:rPr>
            <w:t xml:space="preserve">KET Nanotechnologie </w:t>
          </w:r>
          <w:r>
            <w:rPr>
              <w:sz w:val="18"/>
              <w:szCs w:val="18"/>
            </w:rPr>
            <w:t xml:space="preserve">je </w:t>
          </w:r>
          <w:r w:rsidRPr="0042600E">
            <w:rPr>
              <w:sz w:val="18"/>
              <w:szCs w:val="18"/>
            </w:rPr>
            <w:t>v </w:t>
          </w:r>
          <w:r w:rsidRPr="00DF3E1A">
            <w:rPr>
              <w:sz w:val="18"/>
              <w:szCs w:val="18"/>
            </w:rPr>
            <w:t>rámci implementace a realizace RIS3</w:t>
          </w:r>
          <w:r>
            <w:rPr>
              <w:sz w:val="18"/>
              <w:szCs w:val="18"/>
            </w:rPr>
            <w:t xml:space="preserve"> </w:t>
          </w:r>
          <w:r w:rsidRPr="0042600E">
            <w:rPr>
              <w:sz w:val="18"/>
              <w:szCs w:val="18"/>
            </w:rPr>
            <w:t>průřezově sledován</w:t>
          </w:r>
          <w:r>
            <w:rPr>
              <w:sz w:val="18"/>
              <w:szCs w:val="18"/>
            </w:rPr>
            <w:t>a</w:t>
          </w:r>
          <w:r w:rsidRPr="0042600E">
            <w:rPr>
              <w:sz w:val="18"/>
              <w:szCs w:val="18"/>
            </w:rPr>
            <w:t xml:space="preserve"> a podporován</w:t>
          </w:r>
          <w:r>
            <w:rPr>
              <w:sz w:val="18"/>
              <w:szCs w:val="18"/>
            </w:rPr>
            <w:t>a a je jí z titulu její významnosti v rámci výzkumné specializace ČR věnován v  procesu EDP obzvláštní zřetel</w:t>
          </w:r>
          <w:r w:rsidRPr="00DF3E1A">
            <w:rPr>
              <w:sz w:val="18"/>
              <w:szCs w:val="18"/>
            </w:rPr>
            <w:t xml:space="preserve">. </w:t>
          </w:r>
          <w:r>
            <w:rPr>
              <w:sz w:val="18"/>
              <w:szCs w:val="18"/>
            </w:rPr>
            <w:t> Na základě procesu</w:t>
          </w:r>
          <w:r w:rsidRPr="00DF3E1A">
            <w:rPr>
              <w:sz w:val="18"/>
              <w:szCs w:val="18"/>
            </w:rPr>
            <w:t xml:space="preserve"> EDP byla </w:t>
          </w:r>
          <w:r>
            <w:rPr>
              <w:sz w:val="18"/>
              <w:szCs w:val="18"/>
            </w:rPr>
            <w:t>v oblasti Nanotechnologií podrobněji identifikována/specifikována tato perspektivní</w:t>
          </w:r>
          <w:r w:rsidRPr="00DF3E1A">
            <w:rPr>
              <w:sz w:val="18"/>
              <w:szCs w:val="18"/>
            </w:rPr>
            <w:t xml:space="preserve"> témata: </w:t>
          </w:r>
          <w:r w:rsidRPr="00E21CE4">
            <w:rPr>
              <w:sz w:val="18"/>
              <w:szCs w:val="18"/>
            </w:rPr>
            <w:t>Nanovlá</w:t>
          </w:r>
          <w:r w:rsidRPr="00E21CE4">
            <w:rPr>
              <w:sz w:val="18"/>
              <w:szCs w:val="18"/>
              <w:lang w:val="de-DE"/>
            </w:rPr>
            <w:t>kenn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  <w:lang w:val="it-IT"/>
            </w:rPr>
            <w:t>materi</w:t>
          </w:r>
          <w:r w:rsidRPr="00E21CE4">
            <w:rPr>
              <w:sz w:val="18"/>
              <w:szCs w:val="18"/>
            </w:rPr>
            <w:t>ály pro průmyslov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 xml:space="preserve">aplikace (filtrace).  </w:t>
          </w:r>
          <w:r w:rsidRPr="00E21CE4">
            <w:rPr>
              <w:sz w:val="18"/>
              <w:szCs w:val="18"/>
              <w:lang w:val="it-IT"/>
            </w:rPr>
            <w:t>Nano</w:t>
          </w:r>
          <w:r w:rsidRPr="00E21CE4">
            <w:rPr>
              <w:sz w:val="18"/>
              <w:szCs w:val="18"/>
            </w:rPr>
            <w:t>částice nulamocn</w:t>
          </w:r>
          <w:r w:rsidRPr="00E21CE4">
            <w:rPr>
              <w:sz w:val="18"/>
              <w:szCs w:val="18"/>
              <w:lang w:val="fr-FR"/>
            </w:rPr>
            <w:t>é</w:t>
          </w:r>
          <w:r w:rsidRPr="00E21CE4">
            <w:rPr>
              <w:sz w:val="18"/>
              <w:szCs w:val="18"/>
            </w:rPr>
            <w:t xml:space="preserve">ho železa a jejich aplikace v technologiích sanace podzemních i povrchových vod. </w:t>
          </w:r>
          <w:r w:rsidRPr="00E21CE4">
            <w:rPr>
              <w:sz w:val="18"/>
              <w:szCs w:val="18"/>
              <w:lang w:val="it-IT"/>
            </w:rPr>
            <w:t>Filtra</w:t>
          </w:r>
          <w:r w:rsidRPr="00E21CE4">
            <w:rPr>
              <w:sz w:val="18"/>
              <w:szCs w:val="18"/>
            </w:rPr>
            <w:t xml:space="preserve">ční </w:t>
          </w:r>
          <w:r w:rsidRPr="00E21CE4">
            <w:rPr>
              <w:sz w:val="18"/>
              <w:szCs w:val="18"/>
              <w:lang w:val="it-IT"/>
            </w:rPr>
            <w:t>materi</w:t>
          </w:r>
          <w:r w:rsidRPr="00E21CE4">
            <w:rPr>
              <w:sz w:val="18"/>
              <w:szCs w:val="18"/>
            </w:rPr>
            <w:t>ály (polymerní nanovlá</w:t>
          </w:r>
          <w:r w:rsidRPr="00E21CE4">
            <w:rPr>
              <w:sz w:val="18"/>
              <w:szCs w:val="18"/>
              <w:lang w:val="de-DE"/>
            </w:rPr>
            <w:t>kenn</w:t>
          </w:r>
          <w:r w:rsidRPr="00E21CE4">
            <w:rPr>
              <w:sz w:val="18"/>
              <w:szCs w:val="18"/>
              <w:lang w:val="fr-FR"/>
            </w:rPr>
            <w:t>é membr</w:t>
          </w:r>
          <w:r w:rsidRPr="00E21CE4">
            <w:rPr>
              <w:sz w:val="18"/>
              <w:szCs w:val="18"/>
            </w:rPr>
            <w:t>ány) – pro technologie čištění vody a vzduchu bez chemikálií prostřednictví</w:t>
          </w:r>
          <w:r w:rsidRPr="00E21CE4">
            <w:rPr>
              <w:sz w:val="18"/>
              <w:szCs w:val="18"/>
              <w:lang w:val="fr-FR"/>
            </w:rPr>
            <w:t>m technologie membr</w:t>
          </w:r>
          <w:r w:rsidRPr="00E21CE4">
            <w:rPr>
              <w:sz w:val="18"/>
              <w:szCs w:val="18"/>
            </w:rPr>
            <w:t>ánov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  <w:lang w:val="es-ES_tradnl"/>
            </w:rPr>
            <w:t xml:space="preserve">separace. </w:t>
          </w:r>
          <w:r w:rsidRPr="00E21CE4">
            <w:rPr>
              <w:sz w:val="18"/>
              <w:szCs w:val="18"/>
            </w:rPr>
            <w:t>Fotokatalytick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nátěry s nanočásticemi TiO</w:t>
          </w:r>
          <w:r w:rsidRPr="00E21CE4">
            <w:rPr>
              <w:sz w:val="18"/>
              <w:szCs w:val="18"/>
              <w:vertAlign w:val="subscript"/>
            </w:rPr>
            <w:t xml:space="preserve">2. </w:t>
          </w:r>
          <w:r w:rsidRPr="00E21CE4">
            <w:rPr>
              <w:sz w:val="18"/>
              <w:szCs w:val="18"/>
            </w:rPr>
            <w:t>Nanostrukturovan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polymery, elektroaktivní polymery, termosetov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i termoplastov</w:t>
          </w:r>
          <w:r w:rsidRPr="00E21CE4">
            <w:rPr>
              <w:sz w:val="18"/>
              <w:szCs w:val="18"/>
              <w:lang w:val="fr-FR"/>
            </w:rPr>
            <w:t xml:space="preserve">é </w:t>
          </w:r>
          <w:r w:rsidRPr="00E21CE4">
            <w:rPr>
              <w:sz w:val="18"/>
              <w:szCs w:val="18"/>
            </w:rPr>
            <w:t>kompozity, polymerní kompozity pro medicínu, architektura hmoty v nanoměřítku, 2D a 3D nanostruktury.</w:t>
          </w:r>
        </w:p>
      </w:sdtContent>
    </w:sdt>
  </w:footnote>
  <w:footnote w:id="8">
    <w:sdt>
      <w:sdtPr>
        <w:id w:val="249250648"/>
        <w:lock w:val="contentLocked"/>
        <w:group/>
      </w:sdtPr>
      <w:sdtEndPr>
        <w:rPr>
          <w:sz w:val="18"/>
          <w:szCs w:val="18"/>
        </w:rPr>
      </w:sdtEndPr>
      <w:sdtContent>
        <w:p w:rsidR="00B40BBB" w:rsidRDefault="00B40BBB" w:rsidP="007E3103">
          <w:pPr>
            <w:pStyle w:val="Textpoznpodarou"/>
          </w:pPr>
          <w:r>
            <w:rPr>
              <w:rStyle w:val="Znakapoznpodarou"/>
            </w:rPr>
            <w:footnoteRef/>
          </w:r>
          <w:r>
            <w:t xml:space="preserve"> </w:t>
          </w:r>
          <w:r w:rsidRPr="00882FB7">
            <w:rPr>
              <w:sz w:val="18"/>
              <w:szCs w:val="18"/>
            </w:rPr>
            <w:t>Vazba na průmysl skla, keramiky, porcelánu a stavebních hmot.</w:t>
          </w:r>
        </w:p>
      </w:sdtContent>
    </w:sdt>
  </w:footnote>
  <w:footnote w:id="9">
    <w:p w:rsidR="00B40BBB" w:rsidRDefault="00B40BBB" w:rsidP="00E35C8B">
      <w:pPr>
        <w:pStyle w:val="Textpoznpodarou"/>
      </w:pPr>
      <w:r>
        <w:rPr>
          <w:rStyle w:val="Znakapoznpodarou"/>
        </w:rPr>
        <w:footnoteRef/>
      </w:r>
      <w:r>
        <w:t xml:space="preserve"> Např. Karta aplikačního odvětví 2.1.1 „Strojírenství – </w:t>
      </w:r>
      <w:proofErr w:type="spellStart"/>
      <w:r>
        <w:t>mechatronika</w:t>
      </w:r>
      <w:proofErr w:type="spellEnd"/>
      <w:r>
        <w:t>“ začíná na str. 17 daného materiálu (tj. Přílohy 3 Výzvy)</w:t>
      </w:r>
      <w:r w:rsidRPr="00244A60">
        <w:rPr>
          <w:b/>
        </w:rPr>
        <w:t xml:space="preserve"> </w:t>
      </w:r>
      <w:r>
        <w:t xml:space="preserve">a je doplněna podkladovou přílohou 2.1.1.1 „Příloha Národní RIS3 – Strojírenství – </w:t>
      </w:r>
      <w:proofErr w:type="spellStart"/>
      <w:r>
        <w:t>mechatronika</w:t>
      </w:r>
      <w:proofErr w:type="spellEnd"/>
      <w:r>
        <w:t>“ začínající na str. 23 daného materiálu.</w:t>
      </w:r>
    </w:p>
  </w:footnote>
  <w:footnote w:id="10">
    <w:p w:rsidR="00B40BBB" w:rsidRDefault="00B40BBB">
      <w:pPr>
        <w:pStyle w:val="Textpoznpodarou"/>
      </w:pPr>
      <w:r>
        <w:rPr>
          <w:rStyle w:val="Znakapoznpodarou"/>
        </w:rPr>
        <w:footnoteRef/>
      </w:r>
      <w:r>
        <w:t xml:space="preserve"> Za recentní je považován výstup/výsledek </w:t>
      </w:r>
      <w:proofErr w:type="spellStart"/>
      <w:r>
        <w:t>VaVaI</w:t>
      </w:r>
      <w:proofErr w:type="spellEnd"/>
      <w:r>
        <w:t xml:space="preserve"> ne starší než z r. 2010 (včetně).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5408" behindDoc="0" locked="1" layoutInCell="1" allowOverlap="0" wp14:anchorId="6D511431" wp14:editId="5A807FFB">
          <wp:simplePos x="0" y="0"/>
          <wp:positionH relativeFrom="page">
            <wp:posOffset>180975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1312" behindDoc="0" locked="1" layoutInCell="1" allowOverlap="0" wp14:anchorId="6A6CD80B" wp14:editId="6CA9089E">
          <wp:simplePos x="0" y="0"/>
          <wp:positionH relativeFrom="page">
            <wp:posOffset>2434590</wp:posOffset>
          </wp:positionH>
          <wp:positionV relativeFrom="topMargin">
            <wp:posOffset>332740</wp:posOffset>
          </wp:positionV>
          <wp:extent cx="10331450" cy="503555"/>
          <wp:effectExtent l="0" t="0" r="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BB" w:rsidRDefault="00B40BBB">
    <w:pPr>
      <w:tabs>
        <w:tab w:val="center" w:pos="4536"/>
        <w:tab w:val="right" w:pos="9072"/>
      </w:tabs>
      <w:spacing w:before="708" w:after="0" w:line="100" w:lineRule="atLeast"/>
    </w:pPr>
    <w:r>
      <w:rPr>
        <w:noProof/>
        <w:lang w:eastAsia="cs-CZ" w:bidi="ar-SA"/>
      </w:rPr>
      <w:drawing>
        <wp:anchor distT="0" distB="0" distL="114300" distR="114300" simplePos="0" relativeHeight="251667456" behindDoc="0" locked="1" layoutInCell="1" allowOverlap="0" wp14:anchorId="01A6EFE9" wp14:editId="7C4E62BB">
          <wp:simplePos x="0" y="0"/>
          <wp:positionH relativeFrom="page">
            <wp:posOffset>195580</wp:posOffset>
          </wp:positionH>
          <wp:positionV relativeFrom="topMargin">
            <wp:posOffset>332740</wp:posOffset>
          </wp:positionV>
          <wp:extent cx="7199630" cy="503555"/>
          <wp:effectExtent l="0" t="0" r="127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9B0"/>
    <w:multiLevelType w:val="hybridMultilevel"/>
    <w:tmpl w:val="B504D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241F"/>
    <w:multiLevelType w:val="hybridMultilevel"/>
    <w:tmpl w:val="16369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372A"/>
    <w:multiLevelType w:val="hybridMultilevel"/>
    <w:tmpl w:val="BD2CF7DC"/>
    <w:lvl w:ilvl="0" w:tplc="B720BD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3094C"/>
    <w:multiLevelType w:val="hybridMultilevel"/>
    <w:tmpl w:val="9120EA0A"/>
    <w:lvl w:ilvl="0" w:tplc="F398C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0C22AA"/>
    <w:multiLevelType w:val="multilevel"/>
    <w:tmpl w:val="95EAD1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1997" w:hanging="720"/>
      </w:pPr>
      <w:rPr>
        <w:rFonts w:ascii="Arial" w:hAnsi="Arial" w:cs="Arial" w:hint="default"/>
        <w:b/>
        <w:color w:val="365F91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ascii="Arial" w:hAnsi="Arial" w:cs="Arial" w:hint="default"/>
        <w:b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7907663C"/>
    <w:multiLevelType w:val="hybridMultilevel"/>
    <w:tmpl w:val="851629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1F"/>
    <w:rsid w:val="000252F9"/>
    <w:rsid w:val="00066F38"/>
    <w:rsid w:val="00085BAA"/>
    <w:rsid w:val="000B213B"/>
    <w:rsid w:val="00135EA8"/>
    <w:rsid w:val="00172484"/>
    <w:rsid w:val="001C413E"/>
    <w:rsid w:val="001C67E2"/>
    <w:rsid w:val="00202AD5"/>
    <w:rsid w:val="00244A60"/>
    <w:rsid w:val="00286D1F"/>
    <w:rsid w:val="002F2463"/>
    <w:rsid w:val="003621BD"/>
    <w:rsid w:val="003C3DB9"/>
    <w:rsid w:val="003E429D"/>
    <w:rsid w:val="003F5D09"/>
    <w:rsid w:val="0043087A"/>
    <w:rsid w:val="00494B4D"/>
    <w:rsid w:val="004C433F"/>
    <w:rsid w:val="004D2582"/>
    <w:rsid w:val="004D56E2"/>
    <w:rsid w:val="004E20A9"/>
    <w:rsid w:val="004E22FC"/>
    <w:rsid w:val="005C3971"/>
    <w:rsid w:val="005E4EF1"/>
    <w:rsid w:val="005F206D"/>
    <w:rsid w:val="00637E3F"/>
    <w:rsid w:val="006426D8"/>
    <w:rsid w:val="00644A9F"/>
    <w:rsid w:val="0067702D"/>
    <w:rsid w:val="00681091"/>
    <w:rsid w:val="006872B5"/>
    <w:rsid w:val="00687AFA"/>
    <w:rsid w:val="006B2AF5"/>
    <w:rsid w:val="006F70F9"/>
    <w:rsid w:val="007C3F32"/>
    <w:rsid w:val="007E3103"/>
    <w:rsid w:val="007E6E48"/>
    <w:rsid w:val="00837EB8"/>
    <w:rsid w:val="00874F8B"/>
    <w:rsid w:val="008B567A"/>
    <w:rsid w:val="00933729"/>
    <w:rsid w:val="009772CA"/>
    <w:rsid w:val="0099154C"/>
    <w:rsid w:val="009D6C50"/>
    <w:rsid w:val="009E51F7"/>
    <w:rsid w:val="009F6796"/>
    <w:rsid w:val="009F7C9A"/>
    <w:rsid w:val="00A0022F"/>
    <w:rsid w:val="00A06D33"/>
    <w:rsid w:val="00A741A8"/>
    <w:rsid w:val="00A96A22"/>
    <w:rsid w:val="00AA1B7F"/>
    <w:rsid w:val="00AE7696"/>
    <w:rsid w:val="00B40BBB"/>
    <w:rsid w:val="00B437CD"/>
    <w:rsid w:val="00B52492"/>
    <w:rsid w:val="00B721E8"/>
    <w:rsid w:val="00B74E41"/>
    <w:rsid w:val="00B83B6A"/>
    <w:rsid w:val="00B90070"/>
    <w:rsid w:val="00BA037C"/>
    <w:rsid w:val="00C3250F"/>
    <w:rsid w:val="00C47153"/>
    <w:rsid w:val="00C705DB"/>
    <w:rsid w:val="00C7705F"/>
    <w:rsid w:val="00C772A4"/>
    <w:rsid w:val="00C8623B"/>
    <w:rsid w:val="00CA73FD"/>
    <w:rsid w:val="00D30C04"/>
    <w:rsid w:val="00D35BB6"/>
    <w:rsid w:val="00D878D0"/>
    <w:rsid w:val="00D95FFB"/>
    <w:rsid w:val="00E3306F"/>
    <w:rsid w:val="00E35C8B"/>
    <w:rsid w:val="00EA09F4"/>
    <w:rsid w:val="00EF3252"/>
    <w:rsid w:val="00F00CB6"/>
    <w:rsid w:val="00F36D3C"/>
    <w:rsid w:val="00FA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103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3250F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310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310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E3103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103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103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103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103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103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3103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E3103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7E31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1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31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31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31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31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7E3103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7E310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7E31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03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7E3103"/>
    <w:rPr>
      <w:color w:val="808080"/>
    </w:rPr>
  </w:style>
  <w:style w:type="paragraph" w:customStyle="1" w:styleId="Default">
    <w:name w:val="Default"/>
    <w:rsid w:val="006F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C3250F"/>
    <w:rPr>
      <w:rFonts w:eastAsiaTheme="majorEastAsia" w:cstheme="majorBidi"/>
      <w:b/>
      <w:bCs/>
      <w:color w:val="003399"/>
      <w:sz w:val="28"/>
      <w:szCs w:val="28"/>
    </w:rPr>
  </w:style>
  <w:style w:type="paragraph" w:customStyle="1" w:styleId="Styl2">
    <w:name w:val="Styl2"/>
    <w:basedOn w:val="Nadpis2"/>
    <w:autoRedefine/>
    <w:qFormat/>
    <w:rsid w:val="00B721E8"/>
    <w:pPr>
      <w:keepLines/>
      <w:numPr>
        <w:ilvl w:val="3"/>
        <w:numId w:val="0"/>
      </w:numPr>
      <w:suppressAutoHyphens w:val="0"/>
      <w:spacing w:before="0" w:after="200"/>
      <w:jc w:val="center"/>
    </w:pPr>
    <w:rPr>
      <w:rFonts w:asciiTheme="minorHAnsi" w:hAnsiTheme="minorHAnsi" w:cstheme="majorBidi"/>
      <w:bCs w:val="0"/>
      <w:i w:val="0"/>
      <w:iCs w:val="0"/>
      <w:color w:val="7EA2D1"/>
      <w:kern w:val="0"/>
      <w:sz w:val="24"/>
      <w:szCs w:val="26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A96A22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3103"/>
    <w:pPr>
      <w:suppressAutoHyphens/>
    </w:pPr>
    <w:rPr>
      <w:rFonts w:ascii="Calibri" w:eastAsia="Calibri" w:hAnsi="Calibri" w:cs="Calibri"/>
      <w:color w:val="000000"/>
      <w:kern w:val="1"/>
      <w:sz w:val="24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C3250F"/>
    <w:pPr>
      <w:keepNext/>
      <w:keepLines/>
      <w:suppressAutoHyphens w:val="0"/>
      <w:jc w:val="both"/>
      <w:outlineLvl w:val="0"/>
    </w:pPr>
    <w:rPr>
      <w:rFonts w:asciiTheme="minorHAnsi" w:eastAsiaTheme="majorEastAsia" w:hAnsiTheme="minorHAnsi" w:cstheme="majorBidi"/>
      <w:b/>
      <w:bCs/>
      <w:color w:val="003399"/>
      <w:kern w:val="0"/>
      <w:sz w:val="28"/>
      <w:szCs w:val="28"/>
      <w:lang w:eastAsia="en-US"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3103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E310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E3103"/>
    <w:pPr>
      <w:keepNext/>
      <w:keepLines/>
      <w:numPr>
        <w:ilvl w:val="3"/>
        <w:numId w:val="1"/>
      </w:numPr>
      <w:suppressAutoHyphens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kern w:val="0"/>
      <w:sz w:val="22"/>
      <w:szCs w:val="22"/>
      <w:lang w:eastAsia="en-US"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3103"/>
    <w:pPr>
      <w:keepNext/>
      <w:keepLines/>
      <w:numPr>
        <w:ilvl w:val="4"/>
        <w:numId w:val="1"/>
      </w:numPr>
      <w:suppressAutoHyphens w:val="0"/>
      <w:spacing w:before="200" w:after="0"/>
      <w:outlineLvl w:val="4"/>
    </w:pPr>
    <w:rPr>
      <w:rFonts w:ascii="Cambria" w:eastAsia="Times New Roman" w:hAnsi="Cambria" w:cs="Times New Roman"/>
      <w:color w:val="243F60"/>
      <w:kern w:val="0"/>
      <w:sz w:val="22"/>
      <w:szCs w:val="22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E3103"/>
    <w:pPr>
      <w:keepNext/>
      <w:keepLines/>
      <w:numPr>
        <w:ilvl w:val="5"/>
        <w:numId w:val="1"/>
      </w:numPr>
      <w:suppressAutoHyphens w:val="0"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kern w:val="0"/>
      <w:sz w:val="22"/>
      <w:szCs w:val="22"/>
      <w:lang w:eastAsia="en-US"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E3103"/>
    <w:pPr>
      <w:keepNext/>
      <w:keepLines/>
      <w:numPr>
        <w:ilvl w:val="6"/>
        <w:numId w:val="1"/>
      </w:numPr>
      <w:suppressAutoHyphens w:val="0"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kern w:val="0"/>
      <w:sz w:val="22"/>
      <w:szCs w:val="22"/>
      <w:lang w:eastAsia="en-US"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E3103"/>
    <w:pPr>
      <w:keepNext/>
      <w:keepLines/>
      <w:numPr>
        <w:ilvl w:val="7"/>
        <w:numId w:val="1"/>
      </w:numPr>
      <w:suppressAutoHyphens w:val="0"/>
      <w:spacing w:before="200" w:after="0"/>
      <w:outlineLvl w:val="7"/>
    </w:pPr>
    <w:rPr>
      <w:rFonts w:ascii="Cambria" w:eastAsia="Times New Roman" w:hAnsi="Cambria" w:cs="Times New Roman"/>
      <w:color w:val="404040"/>
      <w:kern w:val="0"/>
      <w:sz w:val="20"/>
      <w:lang w:eastAsia="en-US"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E3103"/>
    <w:pPr>
      <w:keepNext/>
      <w:keepLines/>
      <w:numPr>
        <w:ilvl w:val="8"/>
        <w:numId w:val="1"/>
      </w:numPr>
      <w:suppressAutoHyphens w:val="0"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lang w:eastAsia="en-US" w:bidi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E3103"/>
    <w:rPr>
      <w:rFonts w:ascii="Cambria" w:eastAsia="Times New Roman" w:hAnsi="Cambria" w:cs="Mangal"/>
      <w:b/>
      <w:bCs/>
      <w:i/>
      <w:iCs/>
      <w:color w:val="000000"/>
      <w:kern w:val="1"/>
      <w:sz w:val="28"/>
      <w:szCs w:val="25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7E3103"/>
    <w:rPr>
      <w:rFonts w:ascii="Cambria" w:eastAsia="Times New Roman" w:hAnsi="Cambria" w:cs="Mangal"/>
      <w:b/>
      <w:bCs/>
      <w:color w:val="000000"/>
      <w:kern w:val="1"/>
      <w:sz w:val="26"/>
      <w:szCs w:val="23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7E310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3103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E3103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E3103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E31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E31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"/>
    <w:basedOn w:val="Normln"/>
    <w:link w:val="TextpoznpodarouChar"/>
    <w:uiPriority w:val="99"/>
    <w:unhideWhenUsed/>
    <w:qFormat/>
    <w:rsid w:val="007E3103"/>
    <w:pPr>
      <w:suppressAutoHyphens w:val="0"/>
      <w:spacing w:after="0" w:line="240" w:lineRule="auto"/>
    </w:pPr>
    <w:rPr>
      <w:rFonts w:cs="Times New Roman"/>
      <w:color w:val="auto"/>
      <w:kern w:val="0"/>
      <w:sz w:val="20"/>
      <w:lang w:eastAsia="en-US" w:bidi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"/>
    <w:basedOn w:val="Standardnpsmoodstavce"/>
    <w:link w:val="Textpoznpodarou"/>
    <w:uiPriority w:val="99"/>
    <w:rsid w:val="007E310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Footnote Reference Number,Légende;Char Car Car Car Ca"/>
    <w:uiPriority w:val="99"/>
    <w:unhideWhenUsed/>
    <w:rsid w:val="007E310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1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103"/>
    <w:rPr>
      <w:rFonts w:ascii="Tahoma" w:eastAsia="Calibri" w:hAnsi="Tahoma" w:cs="Mangal"/>
      <w:color w:val="000000"/>
      <w:kern w:val="1"/>
      <w:sz w:val="16"/>
      <w:szCs w:val="14"/>
      <w:lang w:eastAsia="hi-IN" w:bidi="hi-IN"/>
    </w:rPr>
  </w:style>
  <w:style w:type="character" w:styleId="Zstupntext">
    <w:name w:val="Placeholder Text"/>
    <w:basedOn w:val="Standardnpsmoodstavce"/>
    <w:uiPriority w:val="99"/>
    <w:semiHidden/>
    <w:rsid w:val="007E3103"/>
    <w:rPr>
      <w:color w:val="808080"/>
    </w:rPr>
  </w:style>
  <w:style w:type="paragraph" w:customStyle="1" w:styleId="Default">
    <w:name w:val="Default"/>
    <w:rsid w:val="006F70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7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hlavChar">
    <w:name w:val="Záhlaví Char"/>
    <w:basedOn w:val="Standardnpsmoodstavce"/>
    <w:link w:val="Zhlav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D35BB6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ZpatChar">
    <w:name w:val="Zápatí Char"/>
    <w:basedOn w:val="Standardnpsmoodstavce"/>
    <w:link w:val="Zpat"/>
    <w:uiPriority w:val="99"/>
    <w:rsid w:val="00D35BB6"/>
    <w:rPr>
      <w:rFonts w:ascii="Calibri" w:eastAsia="Calibri" w:hAnsi="Calibri" w:cs="Mangal"/>
      <w:color w:val="000000"/>
      <w:kern w:val="1"/>
      <w:sz w:val="24"/>
      <w:szCs w:val="20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C3250F"/>
    <w:rPr>
      <w:rFonts w:eastAsiaTheme="majorEastAsia" w:cstheme="majorBidi"/>
      <w:b/>
      <w:bCs/>
      <w:color w:val="003399"/>
      <w:sz w:val="28"/>
      <w:szCs w:val="28"/>
    </w:rPr>
  </w:style>
  <w:style w:type="paragraph" w:customStyle="1" w:styleId="Styl2">
    <w:name w:val="Styl2"/>
    <w:basedOn w:val="Nadpis2"/>
    <w:autoRedefine/>
    <w:qFormat/>
    <w:rsid w:val="00B721E8"/>
    <w:pPr>
      <w:keepLines/>
      <w:numPr>
        <w:ilvl w:val="3"/>
        <w:numId w:val="0"/>
      </w:numPr>
      <w:suppressAutoHyphens w:val="0"/>
      <w:spacing w:before="0" w:after="200"/>
      <w:jc w:val="center"/>
    </w:pPr>
    <w:rPr>
      <w:rFonts w:asciiTheme="minorHAnsi" w:hAnsiTheme="minorHAnsi" w:cstheme="majorBidi"/>
      <w:bCs w:val="0"/>
      <w:i w:val="0"/>
      <w:iCs w:val="0"/>
      <w:color w:val="7EA2D1"/>
      <w:kern w:val="0"/>
      <w:sz w:val="24"/>
      <w:szCs w:val="26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A96A2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esanav\Desktop\RIS3\n&#225;vodka%20pro%20OP%20VVV\te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45A5A-54FC-454D-A2CE-12A726825BA7}"/>
      </w:docPartPr>
      <w:docPartBody>
        <w:p w:rsidR="008E7F54" w:rsidRDefault="008E7F54">
          <w:r w:rsidRPr="00401C9F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1A"/>
    <w:rsid w:val="005B430E"/>
    <w:rsid w:val="005B451A"/>
    <w:rsid w:val="008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F54"/>
    <w:rPr>
      <w:color w:val="808080"/>
    </w:rPr>
  </w:style>
  <w:style w:type="paragraph" w:customStyle="1" w:styleId="14BB27EF8CF44C239CF89CCCE739D06E">
    <w:name w:val="14BB27EF8CF44C239CF89CCCE739D06E"/>
  </w:style>
  <w:style w:type="paragraph" w:customStyle="1" w:styleId="D58BC0562F1242E488FA83BB7E6869D3">
    <w:name w:val="D58BC0562F1242E488FA83BB7E6869D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E7F54"/>
    <w:rPr>
      <w:color w:val="808080"/>
    </w:rPr>
  </w:style>
  <w:style w:type="paragraph" w:customStyle="1" w:styleId="14BB27EF8CF44C239CF89CCCE739D06E">
    <w:name w:val="14BB27EF8CF44C239CF89CCCE739D06E"/>
  </w:style>
  <w:style w:type="paragraph" w:customStyle="1" w:styleId="D58BC0562F1242E488FA83BB7E6869D3">
    <w:name w:val="D58BC0562F1242E488FA83BB7E686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DBB4-F599-4C12-A9CD-06A12BB9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8</TotalTime>
  <Pages>4</Pages>
  <Words>1321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Czesaná Veronika</dc:creator>
  <cp:lastModifiedBy>Czesaná Veronika</cp:lastModifiedBy>
  <cp:revision>2</cp:revision>
  <dcterms:created xsi:type="dcterms:W3CDTF">2017-02-01T15:18:00Z</dcterms:created>
  <dcterms:modified xsi:type="dcterms:W3CDTF">2017-02-01T15:18:00Z</dcterms:modified>
</cp:coreProperties>
</file>