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CC" w:rsidRDefault="006C16CC" w:rsidP="008908C5">
      <w:pPr>
        <w:tabs>
          <w:tab w:val="left" w:pos="9070"/>
        </w:tabs>
        <w:spacing w:after="120" w:line="240" w:lineRule="auto"/>
        <w:ind w:right="425"/>
        <w:jc w:val="center"/>
        <w:rPr>
          <w:rFonts w:ascii="Calibri" w:eastAsia="Times New Roman" w:hAnsi="Calibri" w:cs="Calibri"/>
          <w:b/>
          <w:bCs/>
          <w:caps/>
          <w:lang w:eastAsia="cs-CZ"/>
        </w:rPr>
      </w:pPr>
      <w:bookmarkStart w:id="0" w:name="_GoBack"/>
      <w:bookmarkEnd w:id="0"/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425"/>
        <w:jc w:val="center"/>
        <w:rPr>
          <w:rFonts w:ascii="Calibri" w:eastAsia="Times New Roman" w:hAnsi="Calibri" w:cs="Calibri"/>
          <w:b/>
          <w:bCs/>
          <w:caps/>
          <w:lang w:eastAsia="cs-CZ"/>
        </w:rPr>
      </w:pPr>
      <w:r w:rsidRPr="004E7FD3">
        <w:rPr>
          <w:rFonts w:ascii="Calibri" w:eastAsia="Times New Roman" w:hAnsi="Calibri" w:cs="Calibri"/>
          <w:b/>
          <w:bCs/>
          <w:caps/>
          <w:lang w:eastAsia="cs-CZ"/>
        </w:rPr>
        <w:t>JEDNACÍ ŘÁD</w:t>
      </w:r>
    </w:p>
    <w:p w:rsidR="003E0014" w:rsidRPr="00532906" w:rsidRDefault="003E0014" w:rsidP="00532906">
      <w:pPr>
        <w:pStyle w:val="Nzev"/>
        <w:spacing w:line="276" w:lineRule="auto"/>
        <w:jc w:val="center"/>
        <w:rPr>
          <w:b/>
          <w:spacing w:val="0"/>
          <w:sz w:val="22"/>
        </w:rPr>
      </w:pPr>
      <w:r w:rsidRPr="00532906">
        <w:rPr>
          <w:b/>
          <w:spacing w:val="0"/>
          <w:sz w:val="22"/>
        </w:rPr>
        <w:t>Výběrové komise Řídicího orgánu OP VVV</w:t>
      </w:r>
      <w:r w:rsidRPr="004E7FD3">
        <w:rPr>
          <w:b/>
          <w:spacing w:val="0"/>
          <w:sz w:val="22"/>
          <w:szCs w:val="22"/>
        </w:rPr>
        <w:t xml:space="preserve"> </w:t>
      </w:r>
    </w:p>
    <w:p w:rsidR="003E0014" w:rsidRPr="00532906" w:rsidRDefault="003E0014" w:rsidP="00532906">
      <w:pPr>
        <w:pStyle w:val="Nzev"/>
        <w:spacing w:line="276" w:lineRule="auto"/>
        <w:jc w:val="center"/>
        <w:rPr>
          <w:b/>
          <w:spacing w:val="0"/>
          <w:sz w:val="22"/>
        </w:rPr>
      </w:pPr>
      <w:r w:rsidRPr="00532906">
        <w:rPr>
          <w:b/>
          <w:spacing w:val="0"/>
          <w:sz w:val="22"/>
        </w:rPr>
        <w:t xml:space="preserve">pro hodnocení projektů předložených v rámci výzvy č. </w:t>
      </w:r>
      <w:r w:rsidRPr="004E7FD3">
        <w:rPr>
          <w:b/>
          <w:spacing w:val="0"/>
          <w:sz w:val="22"/>
          <w:szCs w:val="22"/>
        </w:rPr>
        <w:t xml:space="preserve">02_18_067 Implementace strategie digitálního vzdělávání II </w:t>
      </w:r>
      <w:r w:rsidRPr="00532906">
        <w:rPr>
          <w:b/>
          <w:spacing w:val="0"/>
          <w:sz w:val="22"/>
        </w:rPr>
        <w:t>v prioritní</w:t>
      </w:r>
      <w:r w:rsidRPr="004E7FD3">
        <w:rPr>
          <w:b/>
          <w:spacing w:val="0"/>
          <w:sz w:val="22"/>
          <w:szCs w:val="22"/>
        </w:rPr>
        <w:t> </w:t>
      </w:r>
      <w:r w:rsidRPr="00532906">
        <w:rPr>
          <w:b/>
          <w:spacing w:val="0"/>
          <w:sz w:val="22"/>
        </w:rPr>
        <w:t>ose</w:t>
      </w:r>
      <w:r w:rsidRPr="004E7FD3">
        <w:rPr>
          <w:b/>
          <w:spacing w:val="0"/>
          <w:sz w:val="22"/>
          <w:szCs w:val="22"/>
        </w:rPr>
        <w:t> 3</w:t>
      </w:r>
      <w:r w:rsidRPr="00532906">
        <w:rPr>
          <w:b/>
          <w:spacing w:val="0"/>
          <w:sz w:val="22"/>
        </w:rPr>
        <w:t xml:space="preserve"> Operačního programu Výzkum, vývoj a vzdělávání</w:t>
      </w:r>
    </w:p>
    <w:p w:rsidR="008908C5" w:rsidRPr="004E7FD3" w:rsidRDefault="008908C5" w:rsidP="008908C5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Část I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OBECNÁ USTANOVENÍ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Článek 1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Úvodní ustanovení</w:t>
      </w:r>
    </w:p>
    <w:p w:rsidR="008908C5" w:rsidRPr="004E7FD3" w:rsidRDefault="008908C5" w:rsidP="008908C5">
      <w:pPr>
        <w:numPr>
          <w:ilvl w:val="0"/>
          <w:numId w:val="16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Jednac</w:t>
      </w:r>
      <w:r w:rsidR="00BB10A0" w:rsidRPr="004E7FD3">
        <w:rPr>
          <w:rFonts w:ascii="Calibri" w:eastAsia="Times New Roman" w:hAnsi="Calibri" w:cs="Calibri"/>
          <w:lang w:eastAsia="cs-CZ"/>
        </w:rPr>
        <w:t xml:space="preserve">í řád Výběrové komise výzvy č. </w:t>
      </w:r>
      <w:r w:rsidR="00BB10A0" w:rsidRPr="004E7FD3">
        <w:t>02_18_067</w:t>
      </w:r>
      <w:r w:rsidR="00BB10A0" w:rsidRPr="004E7FD3">
        <w:rPr>
          <w:b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 xml:space="preserve"> (dále jen </w:t>
      </w:r>
      <w:r w:rsidR="004944FD" w:rsidRPr="004E7FD3">
        <w:rPr>
          <w:rFonts w:ascii="Calibri" w:eastAsia="Times New Roman" w:hAnsi="Calibri" w:cs="Calibri"/>
          <w:lang w:eastAsia="cs-CZ"/>
        </w:rPr>
        <w:t>„</w:t>
      </w:r>
      <w:r w:rsidRPr="004E7FD3">
        <w:rPr>
          <w:rFonts w:ascii="Calibri" w:eastAsia="Times New Roman" w:hAnsi="Calibri" w:cs="Calibri"/>
          <w:lang w:eastAsia="cs-CZ"/>
        </w:rPr>
        <w:t>Jednací řád Komise</w:t>
      </w:r>
      <w:r w:rsidR="004944FD" w:rsidRPr="004E7FD3">
        <w:rPr>
          <w:rFonts w:ascii="Calibri" w:eastAsia="Times New Roman" w:hAnsi="Calibri" w:cs="Calibri"/>
          <w:lang w:eastAsia="cs-CZ"/>
        </w:rPr>
        <w:t>“</w:t>
      </w:r>
      <w:r w:rsidRPr="004E7FD3">
        <w:rPr>
          <w:rFonts w:ascii="Calibri" w:eastAsia="Times New Roman" w:hAnsi="Calibri" w:cs="Calibri"/>
          <w:lang w:eastAsia="cs-CZ"/>
        </w:rPr>
        <w:t xml:space="preserve">) se vydává podle čl. 6 Statutu Výběrové komise Operačního programu </w:t>
      </w:r>
      <w:r w:rsidR="00675CE7" w:rsidRPr="004E7FD3">
        <w:rPr>
          <w:rFonts w:ascii="Calibri" w:eastAsia="Times New Roman" w:hAnsi="Calibri" w:cs="Calibri"/>
          <w:lang w:eastAsia="cs-CZ"/>
        </w:rPr>
        <w:t>V</w:t>
      </w:r>
      <w:r w:rsidRPr="004E7FD3">
        <w:rPr>
          <w:rFonts w:ascii="Calibri" w:eastAsia="Times New Roman" w:hAnsi="Calibri" w:cs="Calibri"/>
          <w:lang w:eastAsia="cs-CZ"/>
        </w:rPr>
        <w:t>ýzkum, vývoj a</w:t>
      </w:r>
      <w:r w:rsidR="003E411F" w:rsidRPr="004E7FD3">
        <w:rPr>
          <w:rFonts w:ascii="Calibri" w:eastAsia="Times New Roman" w:hAnsi="Calibri" w:cs="Calibri"/>
          <w:lang w:eastAsia="cs-CZ"/>
        </w:rPr>
        <w:t> </w:t>
      </w:r>
      <w:r w:rsidRPr="004E7FD3">
        <w:rPr>
          <w:rFonts w:ascii="Calibri" w:eastAsia="Times New Roman" w:hAnsi="Calibri" w:cs="Calibri"/>
          <w:lang w:eastAsia="cs-CZ"/>
        </w:rPr>
        <w:t xml:space="preserve">vzdělávání (dále jen </w:t>
      </w:r>
      <w:r w:rsidR="004944FD" w:rsidRPr="004E7FD3">
        <w:rPr>
          <w:rFonts w:ascii="Calibri" w:eastAsia="Times New Roman" w:hAnsi="Calibri" w:cs="Calibri"/>
          <w:lang w:eastAsia="cs-CZ"/>
        </w:rPr>
        <w:t>„</w:t>
      </w:r>
      <w:r w:rsidRPr="004E7FD3">
        <w:rPr>
          <w:rFonts w:ascii="Calibri" w:eastAsia="Times New Roman" w:hAnsi="Calibri" w:cs="Calibri"/>
          <w:lang w:eastAsia="cs-CZ"/>
        </w:rPr>
        <w:t>Statut Komise</w:t>
      </w:r>
      <w:r w:rsidR="004944FD" w:rsidRPr="004E7FD3">
        <w:rPr>
          <w:rFonts w:ascii="Calibri" w:eastAsia="Times New Roman" w:hAnsi="Calibri" w:cs="Calibri"/>
          <w:lang w:eastAsia="cs-CZ"/>
        </w:rPr>
        <w:t>“</w:t>
      </w:r>
      <w:r w:rsidRPr="004E7FD3">
        <w:rPr>
          <w:rFonts w:ascii="Calibri" w:eastAsia="Times New Roman" w:hAnsi="Calibri" w:cs="Calibri"/>
          <w:lang w:eastAsia="cs-CZ"/>
        </w:rPr>
        <w:t>).</w:t>
      </w:r>
    </w:p>
    <w:p w:rsidR="008908C5" w:rsidRPr="004E7FD3" w:rsidRDefault="008908C5" w:rsidP="008908C5">
      <w:pPr>
        <w:numPr>
          <w:ilvl w:val="0"/>
          <w:numId w:val="16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Jednací řád upravuje zejména způsob svolávání, účasti, jednání a hlasování Komise.</w:t>
      </w:r>
    </w:p>
    <w:p w:rsidR="008908C5" w:rsidRPr="004E7FD3" w:rsidRDefault="008908C5" w:rsidP="008908C5">
      <w:pPr>
        <w:numPr>
          <w:ilvl w:val="0"/>
          <w:numId w:val="16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Administrativní činnosti spojené se svoláním a průběhem jednání a zpracováním hlasování (</w:t>
      </w:r>
      <w:r w:rsidR="005A679B" w:rsidRPr="004E7FD3">
        <w:rPr>
          <w:rFonts w:ascii="Calibri" w:eastAsia="Times New Roman" w:hAnsi="Calibri" w:cs="Calibri"/>
          <w:lang w:eastAsia="cs-CZ"/>
        </w:rPr>
        <w:t>stanovisek</w:t>
      </w:r>
      <w:r w:rsidRPr="004E7FD3">
        <w:rPr>
          <w:rFonts w:ascii="Calibri" w:eastAsia="Times New Roman" w:hAnsi="Calibri" w:cs="Calibri"/>
          <w:lang w:eastAsia="cs-CZ"/>
        </w:rPr>
        <w:t>) Komise zabezpečuje Sekretariát</w:t>
      </w:r>
      <w:r w:rsidR="003E411F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 xml:space="preserve">Komise. </w:t>
      </w:r>
    </w:p>
    <w:p w:rsidR="008908C5" w:rsidRPr="004E7FD3" w:rsidRDefault="008908C5" w:rsidP="008908C5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Část II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ČINNOST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Článek 2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Svolání jednání</w:t>
      </w:r>
    </w:p>
    <w:p w:rsidR="008908C5" w:rsidRPr="004E7FD3" w:rsidRDefault="00B828F2" w:rsidP="008908C5">
      <w:pPr>
        <w:numPr>
          <w:ilvl w:val="0"/>
          <w:numId w:val="17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Sekretariát/</w:t>
      </w:r>
      <w:r w:rsidR="008908C5" w:rsidRPr="008908C5">
        <w:rPr>
          <w:rFonts w:ascii="Calibri" w:eastAsia="Times New Roman" w:hAnsi="Calibri" w:cs="Calibri"/>
          <w:lang w:eastAsia="cs-CZ"/>
        </w:rPr>
        <w:t>Tajemník</w:t>
      </w:r>
      <w:r w:rsidR="003E411F" w:rsidRPr="004E7FD3">
        <w:rPr>
          <w:rFonts w:ascii="Calibri" w:eastAsia="Times New Roman" w:hAnsi="Calibri" w:cs="Calibri"/>
          <w:lang w:eastAsia="cs-CZ"/>
        </w:rPr>
        <w:t xml:space="preserve"> </w:t>
      </w:r>
      <w:r w:rsidR="008908C5" w:rsidRPr="004E7FD3">
        <w:rPr>
          <w:rFonts w:ascii="Calibri" w:eastAsia="Times New Roman" w:hAnsi="Calibri" w:cs="Calibri"/>
          <w:lang w:eastAsia="cs-CZ"/>
        </w:rPr>
        <w:t>Komise navrhuje program a stanovuje datum jednání Komise.</w:t>
      </w:r>
    </w:p>
    <w:p w:rsidR="008908C5" w:rsidRPr="004E7FD3" w:rsidRDefault="008908C5" w:rsidP="008908C5">
      <w:pPr>
        <w:numPr>
          <w:ilvl w:val="0"/>
          <w:numId w:val="17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Jednání Komise </w:t>
      </w:r>
      <w:r w:rsidR="008E0889" w:rsidRPr="004E7FD3">
        <w:rPr>
          <w:rFonts w:ascii="Calibri" w:eastAsia="Times New Roman" w:hAnsi="Calibri" w:cs="Calibri"/>
          <w:lang w:eastAsia="cs-CZ"/>
        </w:rPr>
        <w:t xml:space="preserve">je </w:t>
      </w:r>
      <w:r w:rsidRPr="004E7FD3">
        <w:rPr>
          <w:rFonts w:ascii="Calibri" w:eastAsia="Times New Roman" w:hAnsi="Calibri" w:cs="Calibri"/>
          <w:lang w:eastAsia="cs-CZ"/>
        </w:rPr>
        <w:t xml:space="preserve">zahájeno </w:t>
      </w:r>
      <w:r w:rsidR="00E30562" w:rsidRPr="004E7FD3">
        <w:rPr>
          <w:rFonts w:ascii="Calibri" w:eastAsia="Times New Roman" w:hAnsi="Calibri" w:cs="Calibri"/>
          <w:lang w:eastAsia="cs-CZ"/>
        </w:rPr>
        <w:t xml:space="preserve">zpravidla </w:t>
      </w:r>
      <w:r w:rsidR="00FE082F" w:rsidRPr="004E7FD3">
        <w:rPr>
          <w:rFonts w:ascii="Calibri" w:eastAsia="Times New Roman" w:hAnsi="Calibri" w:cs="Calibri"/>
          <w:lang w:eastAsia="cs-CZ"/>
        </w:rPr>
        <w:t xml:space="preserve">do </w:t>
      </w:r>
      <w:r w:rsidR="003E411F" w:rsidRPr="004E7FD3">
        <w:rPr>
          <w:rFonts w:ascii="Calibri" w:eastAsia="Times New Roman" w:hAnsi="Calibri" w:cs="Calibri"/>
          <w:lang w:eastAsia="cs-CZ"/>
        </w:rPr>
        <w:t>14 pracovních dnů od rozhodnutí Přezkumné komise ŘO OP VVV o (částečné) důvodnosti připomínek k podkladům ŘO v procesu schvalování.</w:t>
      </w:r>
    </w:p>
    <w:p w:rsidR="008908C5" w:rsidRPr="004E7FD3" w:rsidRDefault="008908C5" w:rsidP="008908C5">
      <w:pPr>
        <w:numPr>
          <w:ilvl w:val="0"/>
          <w:numId w:val="17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Pozvánka na jednání Komise musí být všem členům Komise a jejich náhradníkům doručena nejpozději </w:t>
      </w:r>
      <w:r w:rsidR="006C159D">
        <w:rPr>
          <w:rFonts w:ascii="Calibri" w:eastAsia="Times New Roman" w:hAnsi="Calibri" w:cs="Calibri"/>
          <w:lang w:eastAsia="cs-CZ"/>
        </w:rPr>
        <w:t>5</w:t>
      </w:r>
      <w:r w:rsidR="00991D40" w:rsidRPr="004E7FD3">
        <w:rPr>
          <w:rFonts w:ascii="Calibri" w:eastAsia="Times New Roman" w:hAnsi="Calibri" w:cs="Calibri"/>
          <w:lang w:eastAsia="cs-CZ"/>
        </w:rPr>
        <w:t xml:space="preserve"> </w:t>
      </w:r>
      <w:r w:rsidR="00083D94" w:rsidRPr="004E7FD3">
        <w:rPr>
          <w:rFonts w:ascii="Calibri" w:eastAsia="Times New Roman" w:hAnsi="Calibri" w:cs="Calibri"/>
          <w:lang w:eastAsia="cs-CZ"/>
        </w:rPr>
        <w:t>pracovních</w:t>
      </w:r>
      <w:r w:rsidRPr="004E7FD3">
        <w:rPr>
          <w:rFonts w:ascii="Calibri" w:eastAsia="Times New Roman" w:hAnsi="Calibri" w:cs="Calibri"/>
          <w:lang w:eastAsia="cs-CZ"/>
        </w:rPr>
        <w:t> dnů před jednáním Komise. Ze závažného důvodu může předseda tuto lhůtu zkrátit.</w:t>
      </w:r>
    </w:p>
    <w:p w:rsidR="008908C5" w:rsidRPr="004E7FD3" w:rsidRDefault="008908C5" w:rsidP="008908C5">
      <w:pPr>
        <w:numPr>
          <w:ilvl w:val="0"/>
          <w:numId w:val="17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Pozvánka na jednání</w:t>
      </w:r>
      <w:r w:rsidR="003E411F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>Komise obsahuje zejména den, místo, čas a předběžný program jednání a je všem členům a jejich náhradníkům zasílána elektronicky nebo písemně.</w:t>
      </w:r>
    </w:p>
    <w:p w:rsidR="008908C5" w:rsidRPr="004E7FD3" w:rsidRDefault="008908C5" w:rsidP="008908C5">
      <w:pPr>
        <w:numPr>
          <w:ilvl w:val="0"/>
          <w:numId w:val="17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Sekretariát Komise/tajemník Komise připraví pro jednání Komise podklady a zprostředkuje/</w:t>
      </w:r>
      <w:r w:rsidRPr="004E7FD3">
        <w:rPr>
          <w:rFonts w:ascii="Calibri" w:eastAsia="Times New Roman" w:hAnsi="Calibri" w:cs="Calibri"/>
          <w:spacing w:val="-4"/>
          <w:lang w:eastAsia="cs-CZ"/>
        </w:rPr>
        <w:t>zpřístupní je přes MS</w:t>
      </w:r>
      <w:r w:rsidR="00F73F0F" w:rsidRPr="004E7FD3">
        <w:rPr>
          <w:rFonts w:ascii="Calibri" w:eastAsia="Times New Roman" w:hAnsi="Calibri" w:cs="Calibri"/>
          <w:spacing w:val="-4"/>
          <w:lang w:eastAsia="cs-CZ"/>
        </w:rPr>
        <w:t xml:space="preserve"> </w:t>
      </w:r>
      <w:r w:rsidRPr="004E7FD3">
        <w:rPr>
          <w:rFonts w:ascii="Calibri" w:eastAsia="Times New Roman" w:hAnsi="Calibri" w:cs="Calibri"/>
          <w:spacing w:val="-4"/>
          <w:lang w:eastAsia="cs-CZ"/>
        </w:rPr>
        <w:t>2014+ členům Komise, popř. jejich náhradníkům a pozorovatelům nejpozději</w:t>
      </w:r>
      <w:r w:rsidR="003E411F" w:rsidRPr="004E7FD3">
        <w:rPr>
          <w:rFonts w:ascii="Calibri" w:eastAsia="Times New Roman" w:hAnsi="Calibri" w:cs="Calibri"/>
          <w:lang w:eastAsia="cs-CZ"/>
        </w:rPr>
        <w:t xml:space="preserve"> </w:t>
      </w:r>
      <w:r w:rsidR="00F37FE4" w:rsidRPr="004E7FD3">
        <w:rPr>
          <w:rFonts w:ascii="Calibri" w:eastAsia="Times New Roman" w:hAnsi="Calibri" w:cs="Calibri"/>
          <w:lang w:eastAsia="cs-CZ"/>
        </w:rPr>
        <w:t>5</w:t>
      </w:r>
      <w:r w:rsidRPr="004E7FD3">
        <w:rPr>
          <w:rFonts w:ascii="Calibri" w:eastAsia="Times New Roman" w:hAnsi="Calibri" w:cs="Calibri"/>
          <w:lang w:eastAsia="cs-CZ"/>
        </w:rPr>
        <w:t xml:space="preserve"> kalendářních dnů před jejím konáním.</w:t>
      </w:r>
    </w:p>
    <w:p w:rsidR="008908C5" w:rsidRPr="004E7FD3" w:rsidRDefault="008908C5" w:rsidP="008908C5">
      <w:pPr>
        <w:pageBreakBefore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lastRenderedPageBreak/>
        <w:t>Článek 3</w:t>
      </w:r>
    </w:p>
    <w:p w:rsidR="008908C5" w:rsidRPr="004E7FD3" w:rsidRDefault="008908C5" w:rsidP="008908C5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Účast na Jednání</w:t>
      </w:r>
    </w:p>
    <w:p w:rsidR="008908C5" w:rsidRPr="004E7FD3" w:rsidRDefault="008908C5" w:rsidP="008908C5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Členové Komise jsou povinni účastnit se jednání Komise.</w:t>
      </w:r>
    </w:p>
    <w:p w:rsidR="008908C5" w:rsidRPr="004E7FD3" w:rsidRDefault="008908C5" w:rsidP="008908C5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Pokud se člen Komise nemůže na jednání dostavit ze závažných důvodů, </w:t>
      </w:r>
      <w:r w:rsidR="007936D8" w:rsidRPr="004E7FD3">
        <w:rPr>
          <w:rFonts w:ascii="Calibri" w:eastAsia="Times New Roman" w:hAnsi="Calibri" w:cs="Calibri"/>
          <w:lang w:eastAsia="cs-CZ"/>
        </w:rPr>
        <w:t>může ho zastoupit určený náhradník</w:t>
      </w:r>
      <w:r w:rsidRPr="004E7FD3">
        <w:rPr>
          <w:rFonts w:ascii="Calibri" w:eastAsia="Times New Roman" w:hAnsi="Calibri" w:cs="Calibri"/>
          <w:lang w:eastAsia="cs-CZ"/>
        </w:rPr>
        <w:t xml:space="preserve">. </w:t>
      </w:r>
    </w:p>
    <w:p w:rsidR="008908C5" w:rsidRPr="004E7FD3" w:rsidRDefault="008908C5" w:rsidP="008908C5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V případě potřeby a se souhlasem předsedy Komise mohou být na zasedání přizváni pozorovatelé určení Komisí, případně s jejím souhlasem, v tomto případě mají tyto osoby hlas poradní.</w:t>
      </w:r>
      <w:r w:rsidR="007936D8" w:rsidRPr="004E7FD3">
        <w:rPr>
          <w:rFonts w:ascii="Calibri" w:eastAsia="Times New Roman" w:hAnsi="Calibri" w:cs="Calibri"/>
          <w:lang w:eastAsia="cs-CZ"/>
        </w:rPr>
        <w:t xml:space="preserve"> V případě účasti pozorovatelů na základě doporučení Přezkumné komise ŘO OP VVV musí jejich účast odsouhlasit předseda Komise.</w:t>
      </w:r>
    </w:p>
    <w:p w:rsidR="008908C5" w:rsidRPr="004E7FD3" w:rsidRDefault="008908C5" w:rsidP="008908C5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Jednání</w:t>
      </w:r>
      <w:r w:rsidR="007936D8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 xml:space="preserve">Komise se vždy účastní zástupce Řídicího orgánu OP VVV (dále jen „ŘO“), který disponuje právem veta pro případy, kdy v rámci jednání dojde k porušení pravidel OP VVV. Uplatněním práva veta se zastaví projednávání dané žádosti nebo bodu programu, zástupce ŘO informuje přítomné členy o chybném postupu, který je v rozporu se závaznými pravidly Operačního manuálu </w:t>
      </w:r>
      <w:r w:rsidR="00F37FE4" w:rsidRPr="004E7FD3">
        <w:rPr>
          <w:rFonts w:ascii="Calibri" w:eastAsia="Times New Roman" w:hAnsi="Calibri" w:cs="Calibri"/>
          <w:lang w:eastAsia="cs-CZ"/>
        </w:rPr>
        <w:t>ŘO</w:t>
      </w:r>
      <w:r w:rsidRPr="004E7FD3">
        <w:rPr>
          <w:rFonts w:ascii="Calibri" w:eastAsia="Times New Roman" w:hAnsi="Calibri" w:cs="Calibri"/>
          <w:lang w:eastAsia="cs-CZ"/>
        </w:rPr>
        <w:t>. Následně je sjednána náprava chybně uplatněných postupů a jednání Komise pokračuje v projednávání dalších bodů programu.</w:t>
      </w:r>
    </w:p>
    <w:p w:rsidR="008908C5" w:rsidRPr="004E7FD3" w:rsidRDefault="008908C5" w:rsidP="008908C5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Člen může přizvat k účasti na jednání svého náhradníka v roli pozorovatele, tzn. člen a jeho náhradník mohou být na jednání Komise přítomni zároveň, ale náhradník disponuje pouze hlasem poradním.</w:t>
      </w:r>
    </w:p>
    <w:p w:rsidR="008908C5" w:rsidRPr="004E7FD3" w:rsidRDefault="008908C5" w:rsidP="008908C5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Jednání Komise jsou neveřejná.</w:t>
      </w:r>
    </w:p>
    <w:p w:rsidR="008908C5" w:rsidRPr="004E7FD3" w:rsidRDefault="008908C5" w:rsidP="008908C5">
      <w:pPr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Článek 4</w:t>
      </w:r>
    </w:p>
    <w:p w:rsidR="008908C5" w:rsidRPr="004E7FD3" w:rsidRDefault="008908C5" w:rsidP="008908C5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Jednání Komise</w:t>
      </w:r>
    </w:p>
    <w:p w:rsidR="008908C5" w:rsidRPr="004E7FD3" w:rsidRDefault="008908C5" w:rsidP="008908C5">
      <w:pPr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1.</w:t>
      </w:r>
      <w:r w:rsidRPr="004E7FD3">
        <w:rPr>
          <w:rFonts w:ascii="Calibri" w:eastAsia="Times New Roman" w:hAnsi="Calibri" w:cs="Calibri"/>
          <w:lang w:eastAsia="cs-CZ"/>
        </w:rPr>
        <w:tab/>
        <w:t xml:space="preserve">Jednání Komise řídí předseda Komise. </w:t>
      </w:r>
    </w:p>
    <w:p w:rsidR="008908C5" w:rsidRPr="004E7FD3" w:rsidRDefault="008908C5" w:rsidP="008908C5">
      <w:pPr>
        <w:widowControl w:val="0"/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2.</w:t>
      </w:r>
      <w:r w:rsidRPr="004E7FD3">
        <w:rPr>
          <w:rFonts w:ascii="Calibri" w:eastAsia="Times New Roman" w:hAnsi="Calibri" w:cs="Calibri"/>
          <w:lang w:eastAsia="cs-CZ"/>
        </w:rPr>
        <w:tab/>
        <w:t xml:space="preserve">Členové Komise </w:t>
      </w:r>
      <w:r w:rsidR="00666E5A" w:rsidRPr="004E7FD3">
        <w:rPr>
          <w:rFonts w:ascii="Calibri" w:eastAsia="Times New Roman" w:hAnsi="Calibri" w:cs="Calibri"/>
          <w:lang w:eastAsia="cs-CZ"/>
        </w:rPr>
        <w:t>přijímají stanoviska</w:t>
      </w:r>
      <w:r w:rsidR="009715A3" w:rsidRPr="004E7FD3">
        <w:rPr>
          <w:rFonts w:ascii="Calibri" w:eastAsia="Times New Roman" w:hAnsi="Calibri" w:cs="Calibri"/>
          <w:lang w:eastAsia="cs-CZ"/>
        </w:rPr>
        <w:t xml:space="preserve"> o</w:t>
      </w:r>
      <w:r w:rsidRPr="004E7FD3">
        <w:rPr>
          <w:rFonts w:ascii="Calibri" w:eastAsia="Times New Roman" w:hAnsi="Calibri" w:cs="Calibri"/>
          <w:lang w:eastAsia="cs-CZ"/>
        </w:rPr>
        <w:t xml:space="preserve"> podpoře/nepodpoře </w:t>
      </w:r>
      <w:r w:rsidR="00666E5A">
        <w:rPr>
          <w:rFonts w:ascii="Calibri" w:eastAsia="Times New Roman" w:hAnsi="Calibri" w:cs="Calibri"/>
          <w:lang w:eastAsia="cs-CZ"/>
        </w:rPr>
        <w:t xml:space="preserve">na základě </w:t>
      </w:r>
      <w:r w:rsidRPr="004E7FD3">
        <w:rPr>
          <w:rFonts w:ascii="Calibri" w:eastAsia="Times New Roman" w:hAnsi="Calibri" w:cs="Calibri"/>
          <w:lang w:eastAsia="cs-CZ"/>
        </w:rPr>
        <w:t>projektů hlasováním.</w:t>
      </w:r>
    </w:p>
    <w:p w:rsidR="008908C5" w:rsidRPr="004E7FD3" w:rsidRDefault="008908C5" w:rsidP="008908C5">
      <w:pPr>
        <w:widowControl w:val="0"/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3.</w:t>
      </w:r>
      <w:r w:rsidRPr="004E7FD3">
        <w:rPr>
          <w:rFonts w:ascii="Calibri" w:eastAsia="Times New Roman" w:hAnsi="Calibri" w:cs="Calibri"/>
          <w:lang w:eastAsia="cs-CZ"/>
        </w:rPr>
        <w:tab/>
        <w:t>Hlasování provádějí členové Komise veřejně (v rámci jednání například zvednutím ruky – ze zápisu z jednání</w:t>
      </w:r>
      <w:r w:rsidR="007936D8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>Komise musí být zřejmé, kdo a jak hlasoval).</w:t>
      </w:r>
    </w:p>
    <w:p w:rsidR="008908C5" w:rsidRPr="004E7FD3" w:rsidRDefault="008908C5" w:rsidP="008908C5">
      <w:pPr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4.</w:t>
      </w:r>
      <w:r w:rsidRPr="004E7FD3">
        <w:rPr>
          <w:rFonts w:ascii="Calibri" w:eastAsia="Times New Roman" w:hAnsi="Calibri" w:cs="Calibri"/>
          <w:lang w:eastAsia="cs-CZ"/>
        </w:rPr>
        <w:tab/>
        <w:t>Závěr je přijat, pokud pro něj hlasovala nadpoloviční většina přítomných členů Komise nebo jejich náhradníků s hlasovacím právem. Při rovnosti hlasů rozhoduje hlas předsedy</w:t>
      </w:r>
      <w:r w:rsidR="007936D8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 xml:space="preserve">Komise. </w:t>
      </w:r>
    </w:p>
    <w:p w:rsidR="008908C5" w:rsidRPr="004E7FD3" w:rsidRDefault="008908C5" w:rsidP="008908C5">
      <w:pPr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5.</w:t>
      </w:r>
      <w:r w:rsidRPr="004E7FD3">
        <w:rPr>
          <w:rFonts w:ascii="Calibri" w:eastAsia="Times New Roman" w:hAnsi="Calibri" w:cs="Calibri"/>
          <w:lang w:eastAsia="cs-CZ"/>
        </w:rPr>
        <w:tab/>
      </w:r>
      <w:r w:rsidRPr="004E7FD3">
        <w:rPr>
          <w:rFonts w:ascii="Calibri" w:eastAsia="Times New Roman" w:hAnsi="Calibri" w:cs="Calibri"/>
          <w:spacing w:val="-4"/>
          <w:lang w:eastAsia="cs-CZ"/>
        </w:rPr>
        <w:t>Komise je usnášeníschopná, pokud je přítomna nadpoloviční většina členů s hlasovacím</w:t>
      </w:r>
      <w:r w:rsidRPr="004E7FD3">
        <w:rPr>
          <w:rFonts w:ascii="Calibri" w:eastAsia="Times New Roman" w:hAnsi="Calibri" w:cs="Calibri"/>
          <w:lang w:eastAsia="cs-CZ"/>
        </w:rPr>
        <w:t xml:space="preserve"> právem, nejméně však tři členové.</w:t>
      </w:r>
    </w:p>
    <w:p w:rsidR="008908C5" w:rsidRPr="004E7FD3" w:rsidRDefault="008908C5" w:rsidP="008908C5">
      <w:pPr>
        <w:spacing w:after="120" w:line="240" w:lineRule="auto"/>
        <w:ind w:left="284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6.</w:t>
      </w:r>
      <w:r w:rsidRPr="004E7FD3">
        <w:rPr>
          <w:rFonts w:ascii="Calibri" w:eastAsia="Times New Roman" w:hAnsi="Calibri" w:cs="Calibri"/>
          <w:lang w:eastAsia="cs-CZ"/>
        </w:rPr>
        <w:tab/>
        <w:t>V případě, že pro návrh ani proti návrhu nehlasuje většina přítomných členů Komise (tzn.</w:t>
      </w:r>
      <w:r w:rsidR="00CB7F5E" w:rsidRPr="004E7FD3">
        <w:rPr>
          <w:rFonts w:ascii="Calibri" w:eastAsia="Times New Roman" w:hAnsi="Calibri" w:cs="Calibri"/>
          <w:lang w:eastAsia="cs-CZ"/>
        </w:rPr>
        <w:t>,</w:t>
      </w:r>
      <w:r w:rsidRPr="004E7FD3">
        <w:rPr>
          <w:rFonts w:ascii="Calibri" w:eastAsia="Times New Roman" w:hAnsi="Calibri" w:cs="Calibri"/>
          <w:lang w:eastAsia="cs-CZ"/>
        </w:rPr>
        <w:t xml:space="preserve"> že většina členů se zdrží hlasování), není možné návrh považovat za projednaný. Předseda Komise v takovém případě po diskuzi s členy Komise zformuluje nový návrh, o kterém</w:t>
      </w:r>
      <w:r w:rsidR="007936D8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>Komise hlasuje. Tento proces se opakuje, dokud není některý z návrhů přijat/zamítnut většinou hlasů přítomných členů Komise.</w:t>
      </w:r>
    </w:p>
    <w:p w:rsidR="008908C5" w:rsidRPr="004E7FD3" w:rsidRDefault="008908C5" w:rsidP="00583641">
      <w:pPr>
        <w:keepNext/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Článek 5</w:t>
      </w:r>
    </w:p>
    <w:p w:rsidR="008908C5" w:rsidRPr="004E7FD3" w:rsidRDefault="008908C5" w:rsidP="006C159D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Pravomoci Komise</w:t>
      </w:r>
    </w:p>
    <w:p w:rsidR="008908C5" w:rsidRPr="004E7FD3" w:rsidRDefault="008908C5" w:rsidP="00276288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lastRenderedPageBreak/>
        <w:t>Komise nesmí pro své jednání o žádostech o podporu zvolit jiné pravomoci a hlediska pro</w:t>
      </w:r>
      <w:r w:rsidR="00F37FE4" w:rsidRPr="004E7FD3">
        <w:rPr>
          <w:rFonts w:ascii="Calibri" w:eastAsia="Times New Roman" w:hAnsi="Calibri" w:cs="Calibri"/>
          <w:lang w:eastAsia="cs-CZ"/>
        </w:rPr>
        <w:t> </w:t>
      </w:r>
      <w:r w:rsidRPr="004E7FD3">
        <w:rPr>
          <w:rFonts w:ascii="Calibri" w:eastAsia="Times New Roman" w:hAnsi="Calibri" w:cs="Calibri"/>
          <w:lang w:eastAsia="cs-CZ"/>
        </w:rPr>
        <w:t>posuzování žádostí o podporu než ty, které byly uvedeny ve výzvě.</w:t>
      </w:r>
    </w:p>
    <w:p w:rsidR="008908C5" w:rsidRPr="004E7FD3" w:rsidRDefault="008908C5" w:rsidP="008908C5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Komise vždy na jednání používá při posuzování žádostí o podporu relevantní dokumentaci (Operační manuál, Pravidla pro žadatele a příjemce a další dokumentaci uvedenou v textu výzvy).</w:t>
      </w:r>
    </w:p>
    <w:p w:rsidR="0084083D" w:rsidRPr="004E7FD3" w:rsidRDefault="0084083D" w:rsidP="008908C5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Komise </w:t>
      </w:r>
      <w:r w:rsidR="00436950" w:rsidRPr="004E7FD3">
        <w:rPr>
          <w:rFonts w:ascii="Calibri" w:eastAsia="Times New Roman" w:hAnsi="Calibri" w:cs="Calibri"/>
          <w:lang w:eastAsia="cs-CZ"/>
        </w:rPr>
        <w:t>zohledňuje</w:t>
      </w:r>
      <w:r w:rsidRPr="004E7FD3">
        <w:rPr>
          <w:rFonts w:ascii="Calibri" w:eastAsia="Times New Roman" w:hAnsi="Calibri" w:cs="Calibri"/>
          <w:lang w:eastAsia="cs-CZ"/>
        </w:rPr>
        <w:t xml:space="preserve"> výsledek posouzení připomínek k podkladům ŘO k procesu schvalování Přezkumnou komisí ŘO OP VVV</w:t>
      </w:r>
      <w:r w:rsidR="008B7859" w:rsidRPr="004E7FD3">
        <w:rPr>
          <w:rFonts w:ascii="Calibri" w:eastAsia="Times New Roman" w:hAnsi="Calibri" w:cs="Calibri"/>
          <w:lang w:eastAsia="cs-CZ"/>
        </w:rPr>
        <w:t>.</w:t>
      </w:r>
    </w:p>
    <w:p w:rsidR="008908C5" w:rsidRPr="004E7FD3" w:rsidRDefault="008908C5" w:rsidP="00B31DD8">
      <w:pPr>
        <w:keepNext/>
        <w:keepLines/>
        <w:widowControl w:val="0"/>
        <w:numPr>
          <w:ilvl w:val="0"/>
          <w:numId w:val="20"/>
        </w:numPr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Komise nesmí požadovat zveřejnění jmen hodnotitelů z předchozí fáze procesu schvalování. Identita hodnotitelů musí z důvodu zachování nezávislosti zůstat utajena.</w:t>
      </w:r>
    </w:p>
    <w:p w:rsidR="008908C5" w:rsidRPr="004E7FD3" w:rsidRDefault="008908C5" w:rsidP="008908C5">
      <w:pPr>
        <w:widowControl w:val="0"/>
        <w:numPr>
          <w:ilvl w:val="0"/>
          <w:numId w:val="20"/>
        </w:numPr>
        <w:adjustRightInd w:val="0"/>
        <w:spacing w:after="120" w:line="240" w:lineRule="auto"/>
        <w:ind w:left="284" w:right="-2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Komise doporučuje/nedoporučuje projekt k podpoře/financování, příp. doporučuje s výhradou (tzn.</w:t>
      </w:r>
      <w:r w:rsidR="00B74F50" w:rsidRPr="004E7FD3">
        <w:rPr>
          <w:rFonts w:ascii="Calibri" w:eastAsia="Times New Roman" w:hAnsi="Calibri" w:cs="Calibri"/>
          <w:lang w:eastAsia="cs-CZ"/>
        </w:rPr>
        <w:t>,</w:t>
      </w:r>
      <w:r w:rsidRPr="004E7FD3">
        <w:rPr>
          <w:rFonts w:ascii="Calibri" w:eastAsia="Times New Roman" w:hAnsi="Calibri" w:cs="Calibri"/>
          <w:lang w:eastAsia="cs-CZ"/>
        </w:rPr>
        <w:t xml:space="preserve"> že projekt obdrží podporu až po splnění podmínek stanovených v rámci výběru projektů podle pravidel předem stanovených ve výzvě, resp. navazující dokumentaci) nebo doporučením.</w:t>
      </w:r>
    </w:p>
    <w:p w:rsidR="008908C5" w:rsidRPr="004E7FD3" w:rsidRDefault="008908C5" w:rsidP="008908C5">
      <w:pPr>
        <w:numPr>
          <w:ilvl w:val="0"/>
          <w:numId w:val="20"/>
        </w:numPr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Svá stanoviska Komise vždy zdůvodňuje tak, aby bylo zřejmé, na základě čeho bylo příslušné </w:t>
      </w:r>
      <w:r w:rsidR="005A679B" w:rsidRPr="004E7FD3">
        <w:rPr>
          <w:rFonts w:ascii="Calibri" w:eastAsia="Times New Roman" w:hAnsi="Calibri" w:cs="Calibri"/>
          <w:lang w:eastAsia="cs-CZ"/>
        </w:rPr>
        <w:t xml:space="preserve">stanovisko </w:t>
      </w:r>
      <w:r w:rsidRPr="004E7FD3">
        <w:rPr>
          <w:rFonts w:ascii="Calibri" w:eastAsia="Times New Roman" w:hAnsi="Calibri" w:cs="Calibri"/>
          <w:lang w:eastAsia="cs-CZ"/>
        </w:rPr>
        <w:t xml:space="preserve">učiněno. </w:t>
      </w:r>
    </w:p>
    <w:p w:rsidR="008908C5" w:rsidRPr="004E7FD3" w:rsidRDefault="008908C5" w:rsidP="006C159D">
      <w:pPr>
        <w:widowControl w:val="0"/>
        <w:numPr>
          <w:ilvl w:val="0"/>
          <w:numId w:val="20"/>
        </w:numPr>
        <w:adjustRightInd w:val="0"/>
        <w:spacing w:after="120" w:line="240" w:lineRule="auto"/>
        <w:ind w:left="284" w:right="-2" w:hanging="284"/>
        <w:textAlignment w:val="baseline"/>
        <w:rPr>
          <w:rFonts w:ascii="Calibri" w:eastAsia="Times New Roman" w:hAnsi="Calibri" w:cs="Calibri"/>
          <w:lang w:eastAsia="cs-CZ"/>
        </w:rPr>
      </w:pPr>
      <w:r w:rsidRPr="006C159D">
        <w:rPr>
          <w:rFonts w:ascii="Calibri" w:hAnsi="Calibri"/>
        </w:rPr>
        <w:t xml:space="preserve">Komise může </w:t>
      </w:r>
      <w:r w:rsidR="0052644B" w:rsidRPr="00993C42">
        <w:rPr>
          <w:rFonts w:ascii="Calibri" w:eastAsia="Times New Roman" w:hAnsi="Calibri" w:cs="Calibri"/>
          <w:lang w:eastAsia="cs-CZ"/>
        </w:rPr>
        <w:t xml:space="preserve">navrhnout i případné </w:t>
      </w:r>
      <w:r w:rsidR="00A0452F">
        <w:rPr>
          <w:rFonts w:ascii="Calibri" w:eastAsia="Times New Roman" w:hAnsi="Calibri" w:cs="Calibri"/>
          <w:lang w:eastAsia="cs-CZ"/>
        </w:rPr>
        <w:t xml:space="preserve">nedoporučení </w:t>
      </w:r>
      <w:r w:rsidR="0052644B" w:rsidRPr="00993C42">
        <w:rPr>
          <w:rFonts w:ascii="Calibri" w:eastAsia="Times New Roman" w:hAnsi="Calibri" w:cs="Calibri"/>
          <w:lang w:eastAsia="cs-CZ"/>
        </w:rPr>
        <w:t>projektu</w:t>
      </w:r>
      <w:r w:rsidRPr="006C159D">
        <w:rPr>
          <w:rFonts w:ascii="Calibri" w:hAnsi="Calibri"/>
        </w:rPr>
        <w:t xml:space="preserve"> k</w:t>
      </w:r>
      <w:r w:rsidR="00A0452F">
        <w:rPr>
          <w:rFonts w:ascii="Calibri" w:eastAsia="Times New Roman" w:hAnsi="Calibri" w:cs="Calibri"/>
          <w:lang w:eastAsia="cs-CZ"/>
        </w:rPr>
        <w:t xml:space="preserve"> </w:t>
      </w:r>
      <w:r w:rsidRPr="006C159D">
        <w:rPr>
          <w:rFonts w:ascii="Calibri" w:hAnsi="Calibri"/>
        </w:rPr>
        <w:t>financování</w:t>
      </w:r>
      <w:r w:rsidR="0052644B" w:rsidRPr="00993C42">
        <w:rPr>
          <w:rFonts w:ascii="Calibri" w:eastAsia="Times New Roman" w:hAnsi="Calibri" w:cs="Calibri"/>
          <w:lang w:eastAsia="cs-CZ"/>
        </w:rPr>
        <w:t>, je-li tato skutečnost</w:t>
      </w:r>
      <w:r w:rsidR="00E41D5D">
        <w:rPr>
          <w:rFonts w:ascii="Calibri" w:eastAsia="Times New Roman" w:hAnsi="Calibri" w:cs="Calibri"/>
          <w:lang w:eastAsia="cs-CZ"/>
        </w:rPr>
        <w:t xml:space="preserve"> </w:t>
      </w:r>
      <w:r w:rsidR="0052644B" w:rsidRPr="00993C42">
        <w:rPr>
          <w:rFonts w:ascii="Calibri" w:eastAsia="Times New Roman" w:hAnsi="Calibri" w:cs="Calibri"/>
          <w:lang w:eastAsia="cs-CZ"/>
        </w:rPr>
        <w:t>řádně,</w:t>
      </w:r>
      <w:r w:rsidR="00E41D5D">
        <w:rPr>
          <w:rFonts w:ascii="Calibri" w:eastAsia="Times New Roman" w:hAnsi="Calibri" w:cs="Calibri"/>
          <w:lang w:eastAsia="cs-CZ"/>
        </w:rPr>
        <w:t xml:space="preserve"> </w:t>
      </w:r>
      <w:r w:rsidR="0052644B" w:rsidRPr="00993C42">
        <w:rPr>
          <w:rFonts w:ascii="Calibri" w:eastAsia="Times New Roman" w:hAnsi="Calibri" w:cs="Calibri"/>
          <w:lang w:eastAsia="cs-CZ"/>
        </w:rPr>
        <w:t>transparentně</w:t>
      </w:r>
      <w:r w:rsidRPr="006C159D">
        <w:rPr>
          <w:rFonts w:ascii="Calibri" w:hAnsi="Calibri"/>
        </w:rPr>
        <w:t xml:space="preserve"> a </w:t>
      </w:r>
      <w:r w:rsidR="0052644B" w:rsidRPr="00993C42">
        <w:rPr>
          <w:rFonts w:ascii="Calibri" w:eastAsia="Times New Roman" w:hAnsi="Calibri" w:cs="Calibri"/>
          <w:lang w:eastAsia="cs-CZ"/>
        </w:rPr>
        <w:t>objektivně odůvodněna.</w:t>
      </w:r>
      <w:r w:rsidR="0052644B">
        <w:rPr>
          <w:rFonts w:ascii="Calibri" w:eastAsia="Times New Roman" w:hAnsi="Calibri" w:cs="Calibri"/>
          <w:lang w:eastAsia="cs-CZ"/>
        </w:rPr>
        <w:t xml:space="preserve"> Výčet možných důvodů</w:t>
      </w:r>
      <w:r w:rsidRPr="004E7FD3">
        <w:rPr>
          <w:rFonts w:ascii="Calibri" w:eastAsia="Times New Roman" w:hAnsi="Calibri" w:cs="Calibri"/>
          <w:lang w:eastAsia="cs-CZ"/>
        </w:rPr>
        <w:t xml:space="preserve"> pro nedoporučení projektu k financování </w:t>
      </w:r>
      <w:r w:rsidR="0052644B">
        <w:rPr>
          <w:rFonts w:ascii="Calibri" w:eastAsia="Times New Roman" w:hAnsi="Calibri" w:cs="Calibri"/>
          <w:lang w:eastAsia="cs-CZ"/>
        </w:rPr>
        <w:t>je</w:t>
      </w:r>
      <w:r w:rsidR="00E41D5D">
        <w:rPr>
          <w:rFonts w:ascii="Calibri" w:eastAsia="Times New Roman" w:hAnsi="Calibri" w:cs="Calibri"/>
          <w:lang w:eastAsia="cs-CZ"/>
        </w:rPr>
        <w:t xml:space="preserve"> </w:t>
      </w:r>
      <w:r w:rsidR="0052644B">
        <w:rPr>
          <w:rFonts w:ascii="Calibri" w:eastAsia="Times New Roman" w:hAnsi="Calibri" w:cs="Calibri"/>
          <w:lang w:eastAsia="cs-CZ"/>
        </w:rPr>
        <w:t>uveden ve Statutu Výběrové komise</w:t>
      </w:r>
      <w:r w:rsidRPr="004E7FD3">
        <w:rPr>
          <w:rFonts w:ascii="Calibri" w:eastAsia="Times New Roman" w:hAnsi="Calibri" w:cs="Calibri"/>
          <w:lang w:eastAsia="cs-CZ"/>
        </w:rPr>
        <w:t>.</w:t>
      </w:r>
    </w:p>
    <w:p w:rsidR="008908C5" w:rsidRPr="004E7FD3" w:rsidRDefault="008908C5" w:rsidP="008908C5">
      <w:pPr>
        <w:widowControl w:val="0"/>
        <w:numPr>
          <w:ilvl w:val="0"/>
          <w:numId w:val="20"/>
        </w:numPr>
        <w:adjustRightInd w:val="0"/>
        <w:spacing w:after="120" w:line="240" w:lineRule="auto"/>
        <w:ind w:left="284" w:right="-2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Komise může doporučit žádost o podporu k financování s výhradou, tzn. stanovit podmínky pro</w:t>
      </w:r>
      <w:r w:rsidR="00F37FE4" w:rsidRPr="004E7FD3">
        <w:rPr>
          <w:rFonts w:ascii="Calibri" w:eastAsia="Times New Roman" w:hAnsi="Calibri" w:cs="Calibri"/>
          <w:lang w:eastAsia="cs-CZ"/>
        </w:rPr>
        <w:t>  </w:t>
      </w:r>
      <w:r w:rsidRPr="004E7FD3">
        <w:rPr>
          <w:rFonts w:ascii="Calibri" w:eastAsia="Times New Roman" w:hAnsi="Calibri" w:cs="Calibri"/>
          <w:lang w:eastAsia="cs-CZ"/>
        </w:rPr>
        <w:t xml:space="preserve">doporučení žádosti o podporu. Výhrady může Komise stanovit pouze na základě návrhu hodnotitelů z fáze věcného hodnocení nebo na základě porovnání žádostí projednávaných danou </w:t>
      </w:r>
      <w:r w:rsidR="0084083D" w:rsidRPr="004E7FD3">
        <w:rPr>
          <w:rFonts w:ascii="Calibri" w:eastAsia="Times New Roman" w:hAnsi="Calibri" w:cs="Calibri"/>
          <w:lang w:eastAsia="cs-CZ"/>
        </w:rPr>
        <w:t>Komisí</w:t>
      </w:r>
      <w:r w:rsidRPr="004E7FD3">
        <w:rPr>
          <w:rFonts w:ascii="Calibri" w:eastAsia="Times New Roman" w:hAnsi="Calibri" w:cs="Calibri"/>
          <w:lang w:eastAsia="cs-CZ"/>
        </w:rPr>
        <w:t xml:space="preserve"> mezi sebou</w:t>
      </w:r>
      <w:r w:rsidR="0022633A" w:rsidRPr="004E7FD3">
        <w:rPr>
          <w:rFonts w:ascii="Calibri" w:eastAsia="Times New Roman" w:hAnsi="Calibri" w:cs="Calibri"/>
          <w:lang w:eastAsia="cs-CZ"/>
        </w:rPr>
        <w:t xml:space="preserve"> nebo </w:t>
      </w:r>
      <w:r w:rsidR="0022633A" w:rsidRPr="004E7FD3">
        <w:t>na základě návrhu zástupce ŘO</w:t>
      </w:r>
      <w:r w:rsidRPr="004E7FD3">
        <w:rPr>
          <w:rFonts w:ascii="Calibri" w:eastAsia="Times New Roman" w:hAnsi="Calibri" w:cs="Calibri"/>
          <w:lang w:eastAsia="cs-CZ"/>
        </w:rPr>
        <w:t>.</w:t>
      </w:r>
      <w:r w:rsidR="00420C2B" w:rsidRPr="004E7FD3">
        <w:rPr>
          <w:rFonts w:ascii="Calibri" w:eastAsia="Times New Roman" w:hAnsi="Calibri" w:cs="Calibri"/>
          <w:lang w:eastAsia="cs-CZ"/>
        </w:rPr>
        <w:t xml:space="preserve"> Pro </w:t>
      </w:r>
      <w:r w:rsidRPr="004E7FD3">
        <w:rPr>
          <w:rFonts w:ascii="Calibri" w:eastAsia="Times New Roman" w:hAnsi="Calibri" w:cs="Calibri"/>
          <w:lang w:eastAsia="cs-CZ"/>
        </w:rPr>
        <w:t xml:space="preserve">každou výhradu musí Komise uvést jasné zdůvodnění. </w:t>
      </w:r>
      <w:r w:rsidR="003B7730">
        <w:rPr>
          <w:rFonts w:ascii="Calibri" w:eastAsia="Times New Roman" w:hAnsi="Calibri" w:cs="Calibri"/>
          <w:lang w:eastAsia="cs-CZ"/>
        </w:rPr>
        <w:t>Komise může stanovit pouze tyto</w:t>
      </w:r>
      <w:r w:rsidRPr="004E7FD3">
        <w:rPr>
          <w:rFonts w:ascii="Calibri" w:eastAsia="Times New Roman" w:hAnsi="Calibri" w:cs="Calibri"/>
          <w:lang w:eastAsia="cs-CZ"/>
        </w:rPr>
        <w:t xml:space="preserve"> výhrady:</w:t>
      </w:r>
    </w:p>
    <w:p w:rsidR="008908C5" w:rsidRPr="004E7FD3" w:rsidRDefault="008908C5" w:rsidP="008908C5">
      <w:pPr>
        <w:widowControl w:val="0"/>
        <w:numPr>
          <w:ilvl w:val="1"/>
          <w:numId w:val="20"/>
        </w:numPr>
        <w:adjustRightInd w:val="0"/>
        <w:spacing w:after="120" w:line="240" w:lineRule="auto"/>
        <w:ind w:left="709" w:right="-2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b/>
          <w:bCs/>
          <w:spacing w:val="-4"/>
          <w:lang w:eastAsia="cs-CZ"/>
        </w:rPr>
        <w:t>Krátit jednotlivé kapitoly/položky rozpočtu</w:t>
      </w:r>
      <w:r w:rsidRPr="004E7FD3">
        <w:rPr>
          <w:rFonts w:ascii="Calibri" w:eastAsia="Times New Roman" w:hAnsi="Calibri" w:cs="Calibri"/>
          <w:spacing w:val="-4"/>
          <w:lang w:eastAsia="cs-CZ"/>
        </w:rPr>
        <w:t xml:space="preserve"> z hlediska způsobilosti, hospodárnosti a účelnosti</w:t>
      </w:r>
      <w:r w:rsidRPr="004E7FD3">
        <w:rPr>
          <w:rFonts w:ascii="Calibri" w:eastAsia="Times New Roman" w:hAnsi="Calibri" w:cs="Calibri"/>
          <w:lang w:eastAsia="cs-CZ"/>
        </w:rPr>
        <w:t xml:space="preserve"> nárokovaných finančních prostředků. Komise musí vždy uvést konkrétní krácení kapitol/</w:t>
      </w:r>
      <w:r w:rsidRPr="008908C5">
        <w:rPr>
          <w:rFonts w:ascii="Calibri" w:eastAsia="Times New Roman" w:hAnsi="Calibri" w:cs="Calibri"/>
          <w:lang w:eastAsia="cs-CZ"/>
        </w:rPr>
        <w:t xml:space="preserve"> /</w:t>
      </w:r>
      <w:r w:rsidRPr="004E7FD3">
        <w:rPr>
          <w:rFonts w:ascii="Calibri" w:eastAsia="Times New Roman" w:hAnsi="Calibri" w:cs="Calibri"/>
          <w:lang w:eastAsia="cs-CZ"/>
        </w:rPr>
        <w:t>položek rozpočtu.</w:t>
      </w:r>
      <w:r w:rsidR="008B7859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>Komise vždy musí uvést důvod krácení kapitol/položek rozpočtu. Za</w:t>
      </w:r>
      <w:r w:rsidR="00F37FE4" w:rsidRPr="004E7FD3">
        <w:rPr>
          <w:rFonts w:ascii="Calibri" w:eastAsia="Times New Roman" w:hAnsi="Calibri" w:cs="Calibri"/>
          <w:lang w:eastAsia="cs-CZ"/>
        </w:rPr>
        <w:t> </w:t>
      </w:r>
      <w:r w:rsidRPr="004E7FD3">
        <w:rPr>
          <w:rFonts w:ascii="Calibri" w:eastAsia="Times New Roman" w:hAnsi="Calibri" w:cs="Calibri"/>
          <w:lang w:eastAsia="cs-CZ"/>
        </w:rPr>
        <w:t>nedostačující zdůvodnění se považuje pouhé uvedení informace, že je projekt nadhodno</w:t>
      </w:r>
      <w:r w:rsidR="00420C2B" w:rsidRPr="004E7FD3">
        <w:rPr>
          <w:rFonts w:ascii="Calibri" w:eastAsia="Times New Roman" w:hAnsi="Calibri" w:cs="Calibri"/>
          <w:lang w:eastAsia="cs-CZ"/>
        </w:rPr>
        <w:t>cen, předimenzován, nepřehledný</w:t>
      </w:r>
      <w:r w:rsidRPr="004E7FD3">
        <w:rPr>
          <w:rFonts w:ascii="Calibri" w:eastAsia="Times New Roman" w:hAnsi="Calibri" w:cs="Calibri"/>
          <w:lang w:eastAsia="cs-CZ"/>
        </w:rPr>
        <w:t xml:space="preserve"> atd. Finanční prostředky uvolněné z krácení některých kapitol/položek rozpočtu nelze přesouvat do jiných kapitol rozpočtu, a tím tyto kapitoly navyšovat. Finanční prostředky odpovídající krácení rozpočtu projektu se </w:t>
      </w:r>
      <w:r w:rsidR="00083D94" w:rsidRPr="004E7FD3">
        <w:rPr>
          <w:rFonts w:ascii="Calibri" w:eastAsia="Times New Roman" w:hAnsi="Calibri" w:cs="Calibri"/>
          <w:lang w:eastAsia="cs-CZ"/>
        </w:rPr>
        <w:t xml:space="preserve">mohou </w:t>
      </w:r>
      <w:r w:rsidRPr="004E7FD3">
        <w:rPr>
          <w:rFonts w:ascii="Calibri" w:eastAsia="Times New Roman" w:hAnsi="Calibri" w:cs="Calibri"/>
          <w:lang w:eastAsia="cs-CZ"/>
        </w:rPr>
        <w:t>načíta</w:t>
      </w:r>
      <w:r w:rsidR="00083D94" w:rsidRPr="004E7FD3">
        <w:rPr>
          <w:rFonts w:ascii="Calibri" w:eastAsia="Times New Roman" w:hAnsi="Calibri" w:cs="Calibri"/>
          <w:lang w:eastAsia="cs-CZ"/>
        </w:rPr>
        <w:t>t</w:t>
      </w:r>
      <w:r w:rsidRPr="004E7FD3">
        <w:rPr>
          <w:rFonts w:ascii="Calibri" w:eastAsia="Times New Roman" w:hAnsi="Calibri" w:cs="Calibri"/>
          <w:lang w:eastAsia="cs-CZ"/>
        </w:rPr>
        <w:t xml:space="preserve"> ke</w:t>
      </w:r>
      <w:r w:rsidR="00F37FE4" w:rsidRPr="004E7FD3">
        <w:rPr>
          <w:rFonts w:ascii="Calibri" w:eastAsia="Times New Roman" w:hAnsi="Calibri" w:cs="Calibri"/>
          <w:lang w:eastAsia="cs-CZ"/>
        </w:rPr>
        <w:t> </w:t>
      </w:r>
      <w:r w:rsidRPr="004E7FD3">
        <w:rPr>
          <w:rFonts w:ascii="Calibri" w:eastAsia="Times New Roman" w:hAnsi="Calibri" w:cs="Calibri"/>
          <w:lang w:eastAsia="cs-CZ"/>
        </w:rPr>
        <w:t xml:space="preserve">zbývajícím finančním prostředkům k přerozdělení v rámci alokace dané výzvy. </w:t>
      </w:r>
    </w:p>
    <w:p w:rsidR="008908C5" w:rsidRPr="004E7FD3" w:rsidRDefault="008908C5" w:rsidP="008908C5">
      <w:pPr>
        <w:keepNext/>
        <w:keepLines/>
        <w:widowControl w:val="0"/>
        <w:numPr>
          <w:ilvl w:val="1"/>
          <w:numId w:val="20"/>
        </w:numPr>
        <w:adjustRightInd w:val="0"/>
        <w:spacing w:after="120" w:line="240" w:lineRule="auto"/>
        <w:ind w:left="709" w:right="-2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lastRenderedPageBreak/>
        <w:t>Přesouvat chybně zařazené položky rozpočtu</w:t>
      </w:r>
      <w:r w:rsidRPr="004E7FD3">
        <w:rPr>
          <w:rFonts w:ascii="Calibri" w:eastAsia="Times New Roman" w:hAnsi="Calibri" w:cs="Calibri"/>
          <w:lang w:eastAsia="cs-CZ"/>
        </w:rPr>
        <w:t xml:space="preserve"> do správných kapitol rozpočtu. Přesuny položek mezi kapitolami se uskutečňují na základě doporučení hodnotitele/hodnoticí komise ve fázi věcného hodnocení nebo člena</w:t>
      </w:r>
      <w:r w:rsidR="00DB4618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>Komise.</w:t>
      </w:r>
    </w:p>
    <w:p w:rsidR="008908C5" w:rsidRPr="004E7FD3" w:rsidRDefault="008908C5" w:rsidP="006C159D">
      <w:pPr>
        <w:keepNext/>
        <w:keepLines/>
        <w:numPr>
          <w:ilvl w:val="1"/>
          <w:numId w:val="20"/>
        </w:numPr>
        <w:adjustRightInd w:val="0"/>
        <w:spacing w:after="120" w:line="240" w:lineRule="auto"/>
        <w:ind w:left="709" w:right="-2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Měnit kvantifikaci indikátorů</w:t>
      </w:r>
      <w:r w:rsidRPr="004E7FD3">
        <w:rPr>
          <w:rFonts w:ascii="Calibri" w:eastAsia="Times New Roman" w:hAnsi="Calibri" w:cs="Calibri"/>
          <w:lang w:eastAsia="cs-CZ"/>
        </w:rPr>
        <w:t xml:space="preserve"> (tzn. zvyšovat, ve výjimečných případech snižovat, indikátory – např. při chybném napočítání produktů projektu) vzhledem k plánovaným aktivitám, jejich slovně popsaným výstupům a rozpočtu; doplnit povinné indikátory včetně jejich kvantifikace, které v žádosti nebyly uvedeny.</w:t>
      </w:r>
    </w:p>
    <w:p w:rsidR="008908C5" w:rsidRPr="006F60F9" w:rsidRDefault="008908C5" w:rsidP="002347A4">
      <w:pPr>
        <w:widowControl w:val="0"/>
        <w:numPr>
          <w:ilvl w:val="1"/>
          <w:numId w:val="20"/>
        </w:numPr>
        <w:tabs>
          <w:tab w:val="left" w:pos="9070"/>
        </w:tabs>
        <w:adjustRightInd w:val="0"/>
        <w:spacing w:after="120" w:line="240" w:lineRule="auto"/>
        <w:ind w:left="709" w:hanging="425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b/>
          <w:bCs/>
          <w:lang w:eastAsia="cs-CZ"/>
        </w:rPr>
        <w:t>Zavázat žadatele k udržení některých aktivit</w:t>
      </w:r>
      <w:r w:rsidRPr="008908C5">
        <w:rPr>
          <w:rFonts w:ascii="Calibri" w:eastAsia="Times New Roman" w:hAnsi="Calibri" w:cs="Calibri"/>
          <w:vertAlign w:val="superscript"/>
          <w:lang w:eastAsia="cs-CZ"/>
        </w:rPr>
        <w:footnoteReference w:id="2"/>
      </w:r>
      <w:r w:rsidRPr="008908C5">
        <w:rPr>
          <w:rFonts w:ascii="Calibri" w:eastAsia="Times New Roman" w:hAnsi="Calibri" w:cs="Calibri"/>
          <w:lang w:eastAsia="cs-CZ"/>
        </w:rPr>
        <w:t>, pokud je udržitelnost projektu popsána nedostatečně (tzn.</w:t>
      </w:r>
      <w:r w:rsidR="007564B2">
        <w:rPr>
          <w:rFonts w:ascii="Calibri" w:eastAsia="Times New Roman" w:hAnsi="Calibri" w:cs="Calibri"/>
          <w:lang w:eastAsia="cs-CZ"/>
        </w:rPr>
        <w:t>,</w:t>
      </w:r>
      <w:r w:rsidR="00420C2B">
        <w:rPr>
          <w:rFonts w:ascii="Calibri" w:eastAsia="Times New Roman" w:hAnsi="Calibri" w:cs="Calibri"/>
          <w:lang w:eastAsia="cs-CZ"/>
        </w:rPr>
        <w:t xml:space="preserve"> že žadatel například</w:t>
      </w:r>
      <w:r w:rsidRPr="008908C5">
        <w:rPr>
          <w:rFonts w:ascii="Calibri" w:eastAsia="Times New Roman" w:hAnsi="Calibri" w:cs="Calibri"/>
          <w:lang w:eastAsia="cs-CZ"/>
        </w:rPr>
        <w:t xml:space="preserve"> přesunul odpovědnost za udržení aktivit na třetí osobu nebo za udržitelnost považuje samovolné šíření výstupů projektu</w:t>
      </w:r>
      <w:r w:rsidRPr="006F60F9">
        <w:rPr>
          <w:rFonts w:ascii="Calibri" w:eastAsia="Times New Roman" w:hAnsi="Calibri" w:cs="Calibri"/>
          <w:lang w:eastAsia="cs-CZ"/>
        </w:rPr>
        <w:t xml:space="preserve">). </w:t>
      </w:r>
    </w:p>
    <w:p w:rsidR="008908C5" w:rsidRPr="004E7FD3" w:rsidRDefault="008908C5" w:rsidP="00523D02">
      <w:pPr>
        <w:keepNext/>
        <w:keepLines/>
        <w:numPr>
          <w:ilvl w:val="1"/>
          <w:numId w:val="20"/>
        </w:numPr>
        <w:tabs>
          <w:tab w:val="left" w:pos="9070"/>
        </w:tabs>
        <w:adjustRightInd w:val="0"/>
        <w:spacing w:after="120" w:line="240" w:lineRule="auto"/>
        <w:ind w:left="709" w:right="-2" w:hanging="425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Stanovit podmínky pro </w:t>
      </w:r>
      <w:r w:rsidRPr="004E7FD3">
        <w:rPr>
          <w:rFonts w:ascii="Calibri" w:eastAsia="Times New Roman" w:hAnsi="Calibri" w:cs="Calibri"/>
          <w:b/>
          <w:bCs/>
          <w:lang w:eastAsia="cs-CZ"/>
        </w:rPr>
        <w:t>úpravu aktivit, partnerství, administrativního/odborného týmu</w:t>
      </w:r>
      <w:r w:rsidRPr="004E7FD3">
        <w:rPr>
          <w:rFonts w:ascii="Calibri" w:eastAsia="Times New Roman" w:hAnsi="Calibri" w:cs="Calibri"/>
          <w:lang w:eastAsia="cs-CZ"/>
        </w:rPr>
        <w:t>.</w:t>
      </w:r>
    </w:p>
    <w:p w:rsidR="008B7859" w:rsidRPr="004E7FD3" w:rsidRDefault="001318EF" w:rsidP="0019560D">
      <w:pPr>
        <w:widowControl w:val="0"/>
        <w:numPr>
          <w:ilvl w:val="0"/>
          <w:numId w:val="20"/>
        </w:numPr>
        <w:tabs>
          <w:tab w:val="left" w:pos="9070"/>
        </w:tabs>
        <w:adjustRightInd w:val="0"/>
        <w:spacing w:after="120" w:line="240" w:lineRule="auto"/>
        <w:ind w:left="284" w:right="-2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Dochází-li ke krácení přímých výdajů v rozpočtu projektu, je</w:t>
      </w:r>
      <w:r w:rsidR="008B7859" w:rsidRPr="004E7FD3">
        <w:rPr>
          <w:rFonts w:ascii="Calibri" w:eastAsia="Times New Roman" w:hAnsi="Calibri" w:cs="Calibri"/>
          <w:lang w:eastAsia="cs-CZ"/>
        </w:rPr>
        <w:t xml:space="preserve"> </w:t>
      </w:r>
      <w:r w:rsidRPr="004E7FD3">
        <w:rPr>
          <w:rFonts w:ascii="Calibri" w:eastAsia="Times New Roman" w:hAnsi="Calibri" w:cs="Calibri"/>
          <w:lang w:eastAsia="cs-CZ"/>
        </w:rPr>
        <w:t>Komise povinna zachovat paušální sazbu vypočtenou z přímých výdajů v rozpočtu projektu před jeho krácením.</w:t>
      </w:r>
    </w:p>
    <w:p w:rsidR="008B7859" w:rsidRPr="004E7FD3" w:rsidRDefault="008B7859" w:rsidP="000741A6">
      <w:pPr>
        <w:widowControl w:val="0"/>
        <w:numPr>
          <w:ilvl w:val="0"/>
          <w:numId w:val="20"/>
        </w:numPr>
        <w:tabs>
          <w:tab w:val="left" w:pos="9070"/>
        </w:tabs>
        <w:adjustRightInd w:val="0"/>
        <w:spacing w:after="120" w:line="240" w:lineRule="auto"/>
        <w:ind w:left="284" w:right="-2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V případě změny výsledného statusu projednávaného projektu (např. z nedoporučen na doporučen </w:t>
      </w:r>
      <w:r w:rsidR="001A3C28" w:rsidRPr="004E7FD3">
        <w:rPr>
          <w:rFonts w:ascii="Calibri" w:eastAsia="Times New Roman" w:hAnsi="Calibri" w:cs="Calibri"/>
          <w:lang w:eastAsia="cs-CZ"/>
        </w:rPr>
        <w:t>a</w:t>
      </w:r>
      <w:r w:rsidR="007F4831" w:rsidRPr="004E7FD3">
        <w:rPr>
          <w:rFonts w:ascii="Calibri" w:eastAsia="Times New Roman" w:hAnsi="Calibri" w:cs="Calibri"/>
          <w:lang w:eastAsia="cs-CZ"/>
        </w:rPr>
        <w:t>j</w:t>
      </w:r>
      <w:r w:rsidR="001A3C28" w:rsidRPr="004E7FD3">
        <w:rPr>
          <w:rFonts w:ascii="Calibri" w:eastAsia="Times New Roman" w:hAnsi="Calibri" w:cs="Calibri"/>
          <w:lang w:eastAsia="cs-CZ"/>
        </w:rPr>
        <w:t>.</w:t>
      </w:r>
      <w:r w:rsidR="00737BB7" w:rsidRPr="004E7FD3">
        <w:rPr>
          <w:rFonts w:ascii="Calibri" w:eastAsia="Times New Roman" w:hAnsi="Calibri" w:cs="Calibri"/>
          <w:lang w:eastAsia="cs-CZ"/>
        </w:rPr>
        <w:t>, změny v počtu bodů</w:t>
      </w:r>
      <w:r w:rsidR="001A3C28" w:rsidRPr="004E7FD3">
        <w:rPr>
          <w:rFonts w:ascii="Calibri" w:eastAsia="Times New Roman" w:hAnsi="Calibri" w:cs="Calibri"/>
          <w:lang w:eastAsia="cs-CZ"/>
        </w:rPr>
        <w:t xml:space="preserve"> či změny výše</w:t>
      </w:r>
      <w:r w:rsidR="00737BB7" w:rsidRPr="004E7FD3">
        <w:rPr>
          <w:rFonts w:ascii="Calibri" w:eastAsia="Times New Roman" w:hAnsi="Calibri" w:cs="Calibri"/>
          <w:lang w:eastAsia="cs-CZ"/>
        </w:rPr>
        <w:t xml:space="preserve"> schválených max. </w:t>
      </w:r>
      <w:r w:rsidR="001A3C28" w:rsidRPr="004E7FD3">
        <w:rPr>
          <w:rFonts w:ascii="Calibri" w:eastAsia="Times New Roman" w:hAnsi="Calibri" w:cs="Calibri"/>
          <w:lang w:eastAsia="cs-CZ"/>
        </w:rPr>
        <w:t>celkových způsobilých výdajů</w:t>
      </w:r>
      <w:r w:rsidR="00737BB7" w:rsidRPr="004E7FD3">
        <w:rPr>
          <w:rFonts w:ascii="Calibri" w:eastAsia="Times New Roman" w:hAnsi="Calibri" w:cs="Calibri"/>
          <w:lang w:eastAsia="cs-CZ"/>
        </w:rPr>
        <w:t xml:space="preserve"> projektu</w:t>
      </w:r>
      <w:r w:rsidRPr="004E7FD3">
        <w:rPr>
          <w:rFonts w:ascii="Calibri" w:eastAsia="Times New Roman" w:hAnsi="Calibri" w:cs="Calibri"/>
          <w:lang w:eastAsia="cs-CZ"/>
        </w:rPr>
        <w:t xml:space="preserve"> Komise vytváří, popř. pověřuje </w:t>
      </w:r>
      <w:r w:rsidR="007F4831" w:rsidRPr="004E7FD3">
        <w:rPr>
          <w:rFonts w:ascii="Calibri" w:eastAsia="Times New Roman" w:hAnsi="Calibri" w:cs="Calibri"/>
          <w:lang w:eastAsia="cs-CZ"/>
        </w:rPr>
        <w:t>ŘO</w:t>
      </w:r>
      <w:r w:rsidRPr="004E7FD3">
        <w:rPr>
          <w:rFonts w:ascii="Calibri" w:eastAsia="Times New Roman" w:hAnsi="Calibri" w:cs="Calibri"/>
          <w:lang w:eastAsia="cs-CZ"/>
        </w:rPr>
        <w:t xml:space="preserve"> vytvořením nového Seznamu projektů </w:t>
      </w:r>
      <w:r w:rsidR="007F4831" w:rsidRPr="004E7FD3">
        <w:rPr>
          <w:rFonts w:ascii="Calibri" w:eastAsia="Times New Roman" w:hAnsi="Calibri" w:cs="Calibri"/>
          <w:lang w:eastAsia="cs-CZ"/>
        </w:rPr>
        <w:t>ne/</w:t>
      </w:r>
      <w:r w:rsidRPr="004E7FD3">
        <w:rPr>
          <w:rFonts w:ascii="Calibri" w:eastAsia="Times New Roman" w:hAnsi="Calibri" w:cs="Calibri"/>
          <w:lang w:eastAsia="cs-CZ"/>
        </w:rPr>
        <w:t xml:space="preserve">doporučených k financování z OP VVV/Seznamu projektů zařazených do zásobníku náhradních projektů. Komise </w:t>
      </w:r>
      <w:r w:rsidR="0012105F" w:rsidRPr="004E7FD3">
        <w:rPr>
          <w:rFonts w:ascii="Calibri" w:eastAsia="Times New Roman" w:hAnsi="Calibri" w:cs="Calibri"/>
          <w:lang w:eastAsia="cs-CZ"/>
        </w:rPr>
        <w:t xml:space="preserve">vždy </w:t>
      </w:r>
      <w:r w:rsidRPr="004E7FD3">
        <w:rPr>
          <w:rFonts w:ascii="Calibri" w:eastAsia="Times New Roman" w:hAnsi="Calibri" w:cs="Calibri"/>
          <w:lang w:eastAsia="cs-CZ"/>
        </w:rPr>
        <w:t>respektuje bodovou hranici stanovenou pro zařazení projektů do zásobníku náhradních projektů, popř. pro nedoporučení projektů k financování.</w:t>
      </w:r>
    </w:p>
    <w:p w:rsidR="008908C5" w:rsidRPr="004E7FD3" w:rsidRDefault="008908C5" w:rsidP="00D813D3">
      <w:pPr>
        <w:keepNext/>
        <w:numPr>
          <w:ilvl w:val="0"/>
          <w:numId w:val="20"/>
        </w:numPr>
        <w:tabs>
          <w:tab w:val="left" w:pos="9070"/>
        </w:tabs>
        <w:adjustRightInd w:val="0"/>
        <w:spacing w:after="120" w:line="240" w:lineRule="auto"/>
        <w:ind w:left="284" w:hanging="284"/>
        <w:textAlignment w:val="baseline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V případě vyššího počtu projektů, kdy celková suma požadovaných prostředků převyšuje alokaci dané výzvy, může Komise navrhnout:</w:t>
      </w:r>
    </w:p>
    <w:p w:rsidR="008908C5" w:rsidRPr="004E7FD3" w:rsidRDefault="008908C5" w:rsidP="008908C5">
      <w:pPr>
        <w:widowControl w:val="0"/>
        <w:numPr>
          <w:ilvl w:val="1"/>
          <w:numId w:val="20"/>
        </w:numPr>
        <w:tabs>
          <w:tab w:val="left" w:pos="9070"/>
        </w:tabs>
        <w:adjustRightInd w:val="0"/>
        <w:spacing w:after="120" w:line="240" w:lineRule="auto"/>
        <w:ind w:left="709" w:right="-2" w:hanging="425"/>
        <w:textAlignment w:val="baseline"/>
        <w:rPr>
          <w:rFonts w:ascii="Calibri" w:eastAsia="Calibri" w:hAnsi="Calibri" w:cs="Calibri"/>
          <w:lang w:eastAsia="cs-CZ"/>
        </w:rPr>
      </w:pPr>
      <w:r w:rsidRPr="004E7FD3">
        <w:rPr>
          <w:rFonts w:ascii="Calibri" w:eastAsia="Calibri" w:hAnsi="Calibri" w:cs="Calibri"/>
          <w:lang w:eastAsia="cs-CZ"/>
        </w:rPr>
        <w:t>vytvoření seznamu náhradních projektů pro kvalitní projekty</w:t>
      </w:r>
      <w:r w:rsidR="00760B69" w:rsidRPr="004E7FD3">
        <w:rPr>
          <w:rFonts w:ascii="Calibri" w:eastAsia="Calibri" w:hAnsi="Calibri" w:cs="Calibri"/>
          <w:lang w:eastAsia="cs-CZ"/>
        </w:rPr>
        <w:t xml:space="preserve"> (tzv. zásobníku)</w:t>
      </w:r>
      <w:r w:rsidRPr="004E7FD3">
        <w:rPr>
          <w:rFonts w:ascii="Calibri" w:eastAsia="Calibri" w:hAnsi="Calibri" w:cs="Calibri"/>
          <w:lang w:eastAsia="cs-CZ"/>
        </w:rPr>
        <w:t xml:space="preserve">; v zásobníku jsou projekty seřazeny podle počtu dosažených bodů </w:t>
      </w:r>
      <w:r w:rsidR="00760B69" w:rsidRPr="004E7FD3">
        <w:rPr>
          <w:rFonts w:ascii="Calibri" w:eastAsia="Calibri" w:hAnsi="Calibri" w:cs="Calibri"/>
          <w:lang w:eastAsia="cs-CZ"/>
        </w:rPr>
        <w:t xml:space="preserve">ve fázi věcného hodnocení </w:t>
      </w:r>
      <w:r w:rsidRPr="004E7FD3">
        <w:rPr>
          <w:rFonts w:ascii="Calibri" w:eastAsia="Calibri" w:hAnsi="Calibri" w:cs="Calibri"/>
          <w:lang w:eastAsia="cs-CZ"/>
        </w:rPr>
        <w:t>od nejvyššího k nejnižšímu;</w:t>
      </w:r>
    </w:p>
    <w:p w:rsidR="008908C5" w:rsidRPr="004E7FD3" w:rsidRDefault="008908C5" w:rsidP="008908C5">
      <w:pPr>
        <w:widowControl w:val="0"/>
        <w:numPr>
          <w:ilvl w:val="1"/>
          <w:numId w:val="20"/>
        </w:numPr>
        <w:tabs>
          <w:tab w:val="left" w:pos="9070"/>
        </w:tabs>
        <w:adjustRightInd w:val="0"/>
        <w:spacing w:after="120" w:line="240" w:lineRule="auto"/>
        <w:ind w:left="709" w:right="-2" w:hanging="425"/>
        <w:textAlignment w:val="baseline"/>
        <w:rPr>
          <w:rFonts w:ascii="Calibri" w:eastAsia="Calibri" w:hAnsi="Calibri" w:cs="Calibri"/>
          <w:lang w:eastAsia="cs-CZ"/>
        </w:rPr>
      </w:pPr>
      <w:r w:rsidRPr="004E7FD3">
        <w:rPr>
          <w:rFonts w:ascii="Calibri" w:eastAsia="Calibri" w:hAnsi="Calibri" w:cs="Calibri"/>
          <w:lang w:eastAsia="cs-CZ"/>
        </w:rPr>
        <w:t xml:space="preserve">navýšení celkové alokace dané výzvy do odpovídající výše finančních prostředků pro projekty </w:t>
      </w:r>
      <w:r w:rsidR="00586CD6" w:rsidRPr="004E7FD3">
        <w:rPr>
          <w:rFonts w:ascii="Calibri" w:eastAsia="Calibri" w:hAnsi="Calibri" w:cs="Calibri"/>
          <w:lang w:eastAsia="cs-CZ"/>
        </w:rPr>
        <w:t>od bodové hranice stanovené Komisí</w:t>
      </w:r>
      <w:r w:rsidRPr="004E7FD3">
        <w:rPr>
          <w:rFonts w:ascii="Calibri" w:eastAsia="Calibri" w:hAnsi="Calibri" w:cs="Calibri"/>
          <w:lang w:eastAsia="cs-CZ"/>
        </w:rPr>
        <w:t>.</w:t>
      </w:r>
    </w:p>
    <w:p w:rsidR="008908C5" w:rsidRPr="004E7FD3" w:rsidRDefault="008908C5" w:rsidP="008908C5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Článek 6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Činnost Sekretariátu Komise</w:t>
      </w:r>
    </w:p>
    <w:p w:rsidR="008908C5" w:rsidRPr="004E7FD3" w:rsidRDefault="008908C5" w:rsidP="008908C5">
      <w:pPr>
        <w:numPr>
          <w:ilvl w:val="0"/>
          <w:numId w:val="19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Za činnost Sekretariátu Komise (dále jen </w:t>
      </w:r>
      <w:r w:rsidR="00415C4C">
        <w:rPr>
          <w:rFonts w:ascii="Calibri" w:eastAsia="Times New Roman" w:hAnsi="Calibri" w:cs="Calibri"/>
          <w:lang w:eastAsia="cs-CZ"/>
        </w:rPr>
        <w:t>„</w:t>
      </w:r>
      <w:r w:rsidRPr="004E7FD3">
        <w:rPr>
          <w:rFonts w:ascii="Calibri" w:eastAsia="Times New Roman" w:hAnsi="Calibri" w:cs="Calibri"/>
          <w:lang w:eastAsia="cs-CZ"/>
        </w:rPr>
        <w:t>Sekretariát“) je odpovědné Odd</w:t>
      </w:r>
      <w:r w:rsidR="00420C2B" w:rsidRPr="004E7FD3">
        <w:rPr>
          <w:rFonts w:ascii="Calibri" w:eastAsia="Times New Roman" w:hAnsi="Calibri" w:cs="Calibri"/>
          <w:lang w:eastAsia="cs-CZ"/>
        </w:rPr>
        <w:t>ělení hodnocení a </w:t>
      </w:r>
      <w:r w:rsidR="00F32638" w:rsidRPr="004E7FD3">
        <w:rPr>
          <w:rFonts w:ascii="Calibri" w:eastAsia="Times New Roman" w:hAnsi="Calibri" w:cs="Calibri"/>
          <w:lang w:eastAsia="cs-CZ"/>
        </w:rPr>
        <w:t>schvalování projektů</w:t>
      </w:r>
      <w:r w:rsidRPr="004E7FD3">
        <w:rPr>
          <w:rFonts w:ascii="Calibri" w:eastAsia="Times New Roman" w:hAnsi="Calibri" w:cs="Calibri"/>
          <w:lang w:eastAsia="cs-CZ"/>
        </w:rPr>
        <w:t>.</w:t>
      </w:r>
    </w:p>
    <w:p w:rsidR="008908C5" w:rsidRPr="004E7FD3" w:rsidRDefault="008908C5" w:rsidP="008908C5">
      <w:pPr>
        <w:numPr>
          <w:ilvl w:val="0"/>
          <w:numId w:val="19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lastRenderedPageBreak/>
        <w:t>Sekretariát vyhotovuje a rozesílá pozvánku na jednání Komise.</w:t>
      </w:r>
    </w:p>
    <w:p w:rsidR="008908C5" w:rsidRPr="004E7FD3" w:rsidRDefault="008908C5" w:rsidP="008908C5">
      <w:pPr>
        <w:widowControl w:val="0"/>
        <w:numPr>
          <w:ilvl w:val="0"/>
          <w:numId w:val="19"/>
        </w:numPr>
        <w:tabs>
          <w:tab w:val="clear" w:pos="360"/>
          <w:tab w:val="left" w:pos="9070"/>
        </w:tabs>
        <w:adjustRightInd w:val="0"/>
        <w:spacing w:after="120" w:line="240" w:lineRule="auto"/>
        <w:ind w:left="284" w:right="-2" w:hanging="284"/>
        <w:textAlignment w:val="baseline"/>
        <w:rPr>
          <w:rFonts w:ascii="Calibri" w:eastAsia="Calibri" w:hAnsi="Calibri" w:cs="Calibri"/>
          <w:lang w:eastAsia="cs-CZ"/>
        </w:rPr>
      </w:pPr>
      <w:r w:rsidRPr="004E7FD3">
        <w:rPr>
          <w:rFonts w:ascii="Calibri" w:eastAsia="Calibri" w:hAnsi="Calibri" w:cs="Calibri"/>
          <w:lang w:eastAsia="cs-CZ"/>
        </w:rPr>
        <w:t>Sekretariát vyhotovuje z  jednání</w:t>
      </w:r>
      <w:r w:rsidR="00DB4618" w:rsidRPr="004E7FD3">
        <w:rPr>
          <w:rFonts w:ascii="Calibri" w:eastAsia="Calibri" w:hAnsi="Calibri" w:cs="Calibri"/>
          <w:lang w:eastAsia="cs-CZ"/>
        </w:rPr>
        <w:t xml:space="preserve"> </w:t>
      </w:r>
      <w:r w:rsidRPr="004E7FD3">
        <w:rPr>
          <w:rFonts w:ascii="Calibri" w:eastAsia="Calibri" w:hAnsi="Calibri" w:cs="Calibri"/>
          <w:lang w:eastAsia="cs-CZ"/>
        </w:rPr>
        <w:t>Komise písemný zápis, který musí obsahovat minimálně následující informace: datum a čas začátku jednání, jmenný seznam účastníků, přehled projektů doporučených, nedoporučených k financování včetně popisu zdůvodnění ke každému projektu, výhrady Komise k jednotlivým projektům včetně zdůvodnění, informace o hlasování jednotlivých členů.</w:t>
      </w:r>
    </w:p>
    <w:p w:rsidR="008908C5" w:rsidRPr="004E7FD3" w:rsidRDefault="008908C5" w:rsidP="008908C5">
      <w:pPr>
        <w:widowControl w:val="0"/>
        <w:numPr>
          <w:ilvl w:val="0"/>
          <w:numId w:val="19"/>
        </w:numPr>
        <w:tabs>
          <w:tab w:val="clear" w:pos="360"/>
          <w:tab w:val="left" w:pos="9070"/>
        </w:tabs>
        <w:adjustRightInd w:val="0"/>
        <w:spacing w:after="120" w:line="240" w:lineRule="auto"/>
        <w:ind w:left="284" w:right="-2" w:hanging="284"/>
        <w:textAlignment w:val="baseline"/>
        <w:rPr>
          <w:rFonts w:ascii="Calibri" w:eastAsia="Calibri" w:hAnsi="Calibri" w:cs="Calibri"/>
          <w:lang w:eastAsia="cs-CZ"/>
        </w:rPr>
      </w:pPr>
      <w:r w:rsidRPr="004E7FD3">
        <w:rPr>
          <w:rFonts w:ascii="Calibri" w:eastAsia="Calibri" w:hAnsi="Calibri" w:cs="Calibri"/>
          <w:lang w:eastAsia="cs-CZ"/>
        </w:rPr>
        <w:t>Členové Komise podepisují zápis s výsledky jednání Komise. Výjimkou je situace, kdy vytvoření zápisu probíhá po jednání Komise. V tomto případě postačuje, pokud členové</w:t>
      </w:r>
      <w:r w:rsidR="00DB4618" w:rsidRPr="004E7FD3">
        <w:rPr>
          <w:rFonts w:ascii="Calibri" w:eastAsia="Calibri" w:hAnsi="Calibri" w:cs="Calibri"/>
          <w:lang w:eastAsia="cs-CZ"/>
        </w:rPr>
        <w:t xml:space="preserve"> </w:t>
      </w:r>
      <w:r w:rsidRPr="004E7FD3">
        <w:rPr>
          <w:rFonts w:ascii="Calibri" w:eastAsia="Calibri" w:hAnsi="Calibri" w:cs="Calibri"/>
          <w:lang w:eastAsia="cs-CZ"/>
        </w:rPr>
        <w:t>Komise mají zápis k dispozici k připomínkám a jeho správnost stvrzuje podpisem předseda Komise a zástupce ŘO.</w:t>
      </w:r>
    </w:p>
    <w:p w:rsidR="008908C5" w:rsidRPr="004E7FD3" w:rsidRDefault="008908C5" w:rsidP="008908C5">
      <w:pPr>
        <w:widowControl w:val="0"/>
        <w:numPr>
          <w:ilvl w:val="0"/>
          <w:numId w:val="19"/>
        </w:numPr>
        <w:tabs>
          <w:tab w:val="clear" w:pos="360"/>
          <w:tab w:val="left" w:pos="9070"/>
        </w:tabs>
        <w:adjustRightInd w:val="0"/>
        <w:spacing w:after="120" w:line="240" w:lineRule="auto"/>
        <w:ind w:left="284" w:right="-2" w:hanging="284"/>
        <w:textAlignment w:val="baseline"/>
        <w:rPr>
          <w:rFonts w:ascii="Calibri" w:eastAsia="Calibri" w:hAnsi="Calibri" w:cs="Calibri"/>
          <w:lang w:eastAsia="cs-CZ"/>
        </w:rPr>
      </w:pPr>
      <w:r w:rsidRPr="004E7FD3">
        <w:rPr>
          <w:rFonts w:ascii="Calibri" w:eastAsia="Calibri" w:hAnsi="Calibri" w:cs="Calibri"/>
          <w:lang w:eastAsia="cs-CZ"/>
        </w:rPr>
        <w:t>Zápis z jednání Komise (včetně jmenného seznamu účastníků) je zveřejněn na internetových stránkách programu nejpozději do 15 pracovních dní od data uskutečnění jednání</w:t>
      </w:r>
      <w:r w:rsidR="00DB4618" w:rsidRPr="004E7FD3">
        <w:rPr>
          <w:rFonts w:ascii="Calibri" w:eastAsia="Calibri" w:hAnsi="Calibri" w:cs="Calibri"/>
          <w:lang w:eastAsia="cs-CZ"/>
        </w:rPr>
        <w:t xml:space="preserve"> </w:t>
      </w:r>
      <w:r w:rsidR="004F7384" w:rsidRPr="004E7FD3">
        <w:rPr>
          <w:rFonts w:ascii="Calibri" w:eastAsia="Calibri" w:hAnsi="Calibri" w:cs="Calibri"/>
          <w:lang w:eastAsia="cs-CZ"/>
        </w:rPr>
        <w:t>Komise</w:t>
      </w:r>
      <w:r w:rsidRPr="004E7FD3">
        <w:rPr>
          <w:rFonts w:ascii="Calibri" w:eastAsia="Calibri" w:hAnsi="Calibri" w:cs="Calibri"/>
          <w:lang w:eastAsia="cs-CZ"/>
        </w:rPr>
        <w:t>.</w:t>
      </w:r>
    </w:p>
    <w:p w:rsidR="00583641" w:rsidRDefault="00583641" w:rsidP="008908C5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8908C5" w:rsidRPr="004E7FD3" w:rsidRDefault="008908C5" w:rsidP="008908C5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Část III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ZÁVĚREČNÁ USTANOVENÍ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Článek 7</w:t>
      </w:r>
    </w:p>
    <w:p w:rsidR="008908C5" w:rsidRPr="004E7FD3" w:rsidRDefault="008908C5" w:rsidP="008908C5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7FD3">
        <w:rPr>
          <w:rFonts w:ascii="Calibri" w:eastAsia="Times New Roman" w:hAnsi="Calibri" w:cs="Calibri"/>
          <w:b/>
          <w:bCs/>
          <w:lang w:eastAsia="cs-CZ"/>
        </w:rPr>
        <w:t>Přijetí a změny Jednacího řádu</w:t>
      </w:r>
    </w:p>
    <w:p w:rsidR="008908C5" w:rsidRDefault="008908C5" w:rsidP="0053290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Přijetí a změny Jednacího řádu mohou být činěny pouze formou usnesení, které přijme Komise, a s vědomím zodpovědných pracovníků Odd</w:t>
      </w:r>
      <w:r w:rsidR="00E11674" w:rsidRPr="004E7FD3">
        <w:rPr>
          <w:rFonts w:ascii="Calibri" w:eastAsia="Times New Roman" w:hAnsi="Calibri" w:cs="Calibri"/>
          <w:lang w:eastAsia="cs-CZ"/>
        </w:rPr>
        <w:t>ělení</w:t>
      </w:r>
      <w:r w:rsidRPr="004E7FD3">
        <w:rPr>
          <w:rFonts w:ascii="Calibri" w:eastAsia="Times New Roman" w:hAnsi="Calibri" w:cs="Calibri"/>
          <w:lang w:eastAsia="cs-CZ"/>
        </w:rPr>
        <w:t xml:space="preserve"> </w:t>
      </w:r>
      <w:r w:rsidR="00586CD6" w:rsidRPr="004E7FD3">
        <w:rPr>
          <w:rFonts w:ascii="Calibri" w:eastAsia="Times New Roman" w:hAnsi="Calibri" w:cs="Calibri"/>
          <w:lang w:eastAsia="cs-CZ"/>
        </w:rPr>
        <w:t>hodnocení a schvalování projektů</w:t>
      </w:r>
      <w:r w:rsidRPr="004E7FD3">
        <w:rPr>
          <w:rFonts w:ascii="Calibri" w:eastAsia="Times New Roman" w:hAnsi="Calibri" w:cs="Calibri"/>
          <w:lang w:eastAsia="cs-CZ"/>
        </w:rPr>
        <w:t>.</w:t>
      </w:r>
    </w:p>
    <w:p w:rsidR="00583641" w:rsidRDefault="00583641" w:rsidP="00583641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583641" w:rsidRPr="00583641" w:rsidRDefault="00583641" w:rsidP="00583641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583641">
        <w:rPr>
          <w:rFonts w:ascii="Calibri" w:eastAsia="Times New Roman" w:hAnsi="Calibri" w:cs="Calibri"/>
          <w:b/>
          <w:bCs/>
          <w:lang w:eastAsia="cs-CZ"/>
        </w:rPr>
        <w:t>Článek 8</w:t>
      </w:r>
    </w:p>
    <w:p w:rsidR="00583641" w:rsidRDefault="00583641" w:rsidP="00583641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583641">
        <w:rPr>
          <w:rFonts w:ascii="Calibri" w:eastAsia="Times New Roman" w:hAnsi="Calibri" w:cs="Calibri"/>
          <w:b/>
          <w:bCs/>
          <w:lang w:eastAsia="cs-CZ"/>
        </w:rPr>
        <w:t>Závěrečné ustanovení</w:t>
      </w:r>
    </w:p>
    <w:p w:rsidR="00583641" w:rsidRDefault="00583641" w:rsidP="00583641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583641" w:rsidRDefault="00583641" w:rsidP="00583641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 xml:space="preserve">Tento Jednací řád byl projednán a schválen Komisí v Praze dne ………………... </w:t>
      </w:r>
    </w:p>
    <w:p w:rsidR="00583641" w:rsidRDefault="00583641" w:rsidP="00583641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583641" w:rsidRPr="004E7FD3" w:rsidRDefault="00583641" w:rsidP="00583641">
      <w:pPr>
        <w:tabs>
          <w:tab w:val="center" w:pos="4536"/>
          <w:tab w:val="right" w:pos="9072"/>
        </w:tabs>
        <w:spacing w:after="120" w:line="240" w:lineRule="auto"/>
        <w:ind w:right="-2"/>
        <w:jc w:val="right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…………………….……………………………………</w:t>
      </w:r>
    </w:p>
    <w:p w:rsidR="00583641" w:rsidRPr="008908C5" w:rsidRDefault="00583641" w:rsidP="00583641">
      <w:pPr>
        <w:tabs>
          <w:tab w:val="left" w:pos="9070"/>
        </w:tabs>
        <w:spacing w:after="120" w:line="240" w:lineRule="auto"/>
        <w:ind w:left="5103" w:right="-2"/>
        <w:jc w:val="right"/>
        <w:rPr>
          <w:rFonts w:ascii="Calibri" w:eastAsia="Times New Roman" w:hAnsi="Calibri" w:cs="Calibri"/>
          <w:lang w:eastAsia="cs-CZ"/>
        </w:rPr>
      </w:pPr>
      <w:r w:rsidRPr="004E7FD3">
        <w:rPr>
          <w:rFonts w:ascii="Calibri" w:eastAsia="Times New Roman" w:hAnsi="Calibri" w:cs="Calibri"/>
          <w:lang w:eastAsia="cs-CZ"/>
        </w:rPr>
        <w:t>podpis předsedy Komise</w:t>
      </w:r>
    </w:p>
    <w:p w:rsidR="00583641" w:rsidRPr="004E7FD3" w:rsidRDefault="00583641" w:rsidP="00583641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583641" w:rsidRPr="00583641" w:rsidRDefault="00583641" w:rsidP="00583641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</w:p>
    <w:sectPr w:rsidR="00583641" w:rsidRPr="00583641" w:rsidSect="00583641">
      <w:headerReference w:type="default" r:id="rId12"/>
      <w:footerReference w:type="default" r:id="rId13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51" w:rsidRDefault="00996851" w:rsidP="003E5669">
      <w:pPr>
        <w:spacing w:after="0" w:line="240" w:lineRule="auto"/>
      </w:pPr>
      <w:r>
        <w:separator/>
      </w:r>
    </w:p>
  </w:endnote>
  <w:endnote w:type="continuationSeparator" w:id="0">
    <w:p w:rsidR="00996851" w:rsidRDefault="00996851" w:rsidP="003E5669">
      <w:pPr>
        <w:spacing w:after="0" w:line="240" w:lineRule="auto"/>
      </w:pPr>
      <w:r>
        <w:continuationSeparator/>
      </w:r>
    </w:p>
  </w:endnote>
  <w:endnote w:type="continuationNotice" w:id="1">
    <w:p w:rsidR="00996851" w:rsidRDefault="00996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752" behindDoc="1" locked="1" layoutInCell="1" allowOverlap="0" wp14:anchorId="36A308B3" wp14:editId="279197F1">
              <wp:simplePos x="0" y="0"/>
              <wp:positionH relativeFrom="margin">
                <wp:posOffset>547370</wp:posOffset>
              </wp:positionH>
              <wp:positionV relativeFrom="paragraph">
                <wp:posOffset>-175895</wp:posOffset>
              </wp:positionV>
              <wp:extent cx="4643755" cy="1029335"/>
              <wp:effectExtent l="0" t="0" r="4445" b="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A5EDA">
          <w:rPr>
            <w:noProof/>
          </w:rPr>
          <w:t>1</w:t>
        </w:r>
        <w:r w:rsidR="00A32B38">
          <w:fldChar w:fldCharType="end"/>
        </w:r>
      </w:p>
    </w:sdtContent>
  </w:sdt>
  <w:p w:rsidR="003E5669" w:rsidRDefault="00065393" w:rsidP="00065393">
    <w:pPr>
      <w:pStyle w:val="Zpat"/>
      <w:tabs>
        <w:tab w:val="left" w:pos="3585"/>
      </w:tabs>
    </w:pPr>
    <w:r>
      <w:tab/>
    </w:r>
    <w:r w:rsidR="00E04A23">
      <w:tab/>
    </w:r>
    <w:r w:rsidR="00E04A2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51" w:rsidRDefault="00996851" w:rsidP="003E5669">
      <w:pPr>
        <w:spacing w:after="0" w:line="240" w:lineRule="auto"/>
      </w:pPr>
      <w:r>
        <w:separator/>
      </w:r>
    </w:p>
  </w:footnote>
  <w:footnote w:type="continuationSeparator" w:id="0">
    <w:p w:rsidR="00996851" w:rsidRDefault="00996851" w:rsidP="003E5669">
      <w:pPr>
        <w:spacing w:after="0" w:line="240" w:lineRule="auto"/>
      </w:pPr>
      <w:r>
        <w:continuationSeparator/>
      </w:r>
    </w:p>
  </w:footnote>
  <w:footnote w:type="continuationNotice" w:id="1">
    <w:p w:rsidR="00996851" w:rsidRDefault="00996851">
      <w:pPr>
        <w:spacing w:after="0" w:line="240" w:lineRule="auto"/>
      </w:pPr>
    </w:p>
  </w:footnote>
  <w:footnote w:id="2">
    <w:p w:rsidR="00B57120" w:rsidRDefault="00B571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60655941" wp14:editId="2B1DF093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D4D"/>
    <w:multiLevelType w:val="hybridMultilevel"/>
    <w:tmpl w:val="5986DC98"/>
    <w:lvl w:ilvl="0" w:tplc="CC2E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A34BD"/>
    <w:multiLevelType w:val="hybridMultilevel"/>
    <w:tmpl w:val="81EE113E"/>
    <w:lvl w:ilvl="0" w:tplc="CD88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13C3"/>
    <w:multiLevelType w:val="hybridMultilevel"/>
    <w:tmpl w:val="D6900B9C"/>
    <w:lvl w:ilvl="0" w:tplc="CC2E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8000B9"/>
    <w:multiLevelType w:val="hybridMultilevel"/>
    <w:tmpl w:val="D41A9F54"/>
    <w:lvl w:ilvl="0" w:tplc="CC2E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212CF"/>
    <w:multiLevelType w:val="hybridMultilevel"/>
    <w:tmpl w:val="90AEFD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D847E6"/>
    <w:multiLevelType w:val="hybridMultilevel"/>
    <w:tmpl w:val="E766BE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8906FB"/>
    <w:multiLevelType w:val="hybridMultilevel"/>
    <w:tmpl w:val="078CD54A"/>
    <w:lvl w:ilvl="0" w:tplc="FAB21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704CD3"/>
    <w:multiLevelType w:val="hybridMultilevel"/>
    <w:tmpl w:val="0B32D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FF71EC"/>
    <w:multiLevelType w:val="hybridMultilevel"/>
    <w:tmpl w:val="5358E59E"/>
    <w:lvl w:ilvl="0" w:tplc="3FD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B04A64"/>
    <w:multiLevelType w:val="hybridMultilevel"/>
    <w:tmpl w:val="67FA4C72"/>
    <w:lvl w:ilvl="0" w:tplc="6D967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0" w15:restartNumberingAfterBreak="0">
    <w:nsid w:val="7B97228B"/>
    <w:multiLevelType w:val="hybridMultilevel"/>
    <w:tmpl w:val="8C40F5B0"/>
    <w:lvl w:ilvl="0" w:tplc="1E724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4696C"/>
    <w:multiLevelType w:val="hybridMultilevel"/>
    <w:tmpl w:val="0C9E67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8"/>
  </w:num>
  <w:num w:numId="12">
    <w:abstractNumId w:val="21"/>
  </w:num>
  <w:num w:numId="13">
    <w:abstractNumId w:val="12"/>
  </w:num>
  <w:num w:numId="14">
    <w:abstractNumId w:val="20"/>
  </w:num>
  <w:num w:numId="15">
    <w:abstractNumId w:val="13"/>
  </w:num>
  <w:num w:numId="16">
    <w:abstractNumId w:val="10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2DF6"/>
    <w:rsid w:val="00014060"/>
    <w:rsid w:val="00015177"/>
    <w:rsid w:val="00022E2E"/>
    <w:rsid w:val="00025EA4"/>
    <w:rsid w:val="00032D71"/>
    <w:rsid w:val="00035C34"/>
    <w:rsid w:val="00042AD6"/>
    <w:rsid w:val="000454C2"/>
    <w:rsid w:val="000473E2"/>
    <w:rsid w:val="00051D2E"/>
    <w:rsid w:val="00064678"/>
    <w:rsid w:val="00065393"/>
    <w:rsid w:val="000741A6"/>
    <w:rsid w:val="00083D94"/>
    <w:rsid w:val="00093A6A"/>
    <w:rsid w:val="000A1160"/>
    <w:rsid w:val="000A3BD7"/>
    <w:rsid w:val="000A5EDA"/>
    <w:rsid w:val="000B2664"/>
    <w:rsid w:val="000B62E9"/>
    <w:rsid w:val="000D13DE"/>
    <w:rsid w:val="000D4163"/>
    <w:rsid w:val="000E30BE"/>
    <w:rsid w:val="000F0160"/>
    <w:rsid w:val="000F1FC2"/>
    <w:rsid w:val="000F43B7"/>
    <w:rsid w:val="0012105F"/>
    <w:rsid w:val="00124577"/>
    <w:rsid w:val="0012589A"/>
    <w:rsid w:val="00127380"/>
    <w:rsid w:val="001304D6"/>
    <w:rsid w:val="001318EF"/>
    <w:rsid w:val="00153351"/>
    <w:rsid w:val="00154197"/>
    <w:rsid w:val="00162DB4"/>
    <w:rsid w:val="0019560D"/>
    <w:rsid w:val="001A3C28"/>
    <w:rsid w:val="001A5E39"/>
    <w:rsid w:val="001B1249"/>
    <w:rsid w:val="001B23DD"/>
    <w:rsid w:val="001B6B72"/>
    <w:rsid w:val="001C5E9C"/>
    <w:rsid w:val="002120D0"/>
    <w:rsid w:val="0022633A"/>
    <w:rsid w:val="002347A4"/>
    <w:rsid w:val="00274ACE"/>
    <w:rsid w:val="00276288"/>
    <w:rsid w:val="002943C0"/>
    <w:rsid w:val="002B19B0"/>
    <w:rsid w:val="002B678E"/>
    <w:rsid w:val="002B70D1"/>
    <w:rsid w:val="002E453F"/>
    <w:rsid w:val="0032368E"/>
    <w:rsid w:val="003372A2"/>
    <w:rsid w:val="0035130F"/>
    <w:rsid w:val="00366B27"/>
    <w:rsid w:val="00392E41"/>
    <w:rsid w:val="003A219D"/>
    <w:rsid w:val="003A5983"/>
    <w:rsid w:val="003B60F3"/>
    <w:rsid w:val="003B7730"/>
    <w:rsid w:val="003D6FB8"/>
    <w:rsid w:val="003E0014"/>
    <w:rsid w:val="003E2954"/>
    <w:rsid w:val="003E411F"/>
    <w:rsid w:val="003E5669"/>
    <w:rsid w:val="00415C4C"/>
    <w:rsid w:val="00416E47"/>
    <w:rsid w:val="00420C2B"/>
    <w:rsid w:val="00436950"/>
    <w:rsid w:val="0043728E"/>
    <w:rsid w:val="00467BA5"/>
    <w:rsid w:val="00470E59"/>
    <w:rsid w:val="00473055"/>
    <w:rsid w:val="00486728"/>
    <w:rsid w:val="004944FD"/>
    <w:rsid w:val="004A4E01"/>
    <w:rsid w:val="004D0AFB"/>
    <w:rsid w:val="004E0F09"/>
    <w:rsid w:val="004E17AB"/>
    <w:rsid w:val="004E4B16"/>
    <w:rsid w:val="004E7FD3"/>
    <w:rsid w:val="004F7384"/>
    <w:rsid w:val="00505ACD"/>
    <w:rsid w:val="00523D02"/>
    <w:rsid w:val="0052644B"/>
    <w:rsid w:val="00532906"/>
    <w:rsid w:val="00535DC2"/>
    <w:rsid w:val="00537D3E"/>
    <w:rsid w:val="00557A65"/>
    <w:rsid w:val="005672FC"/>
    <w:rsid w:val="00583641"/>
    <w:rsid w:val="005861C6"/>
    <w:rsid w:val="00586CD6"/>
    <w:rsid w:val="005A679B"/>
    <w:rsid w:val="005A6C33"/>
    <w:rsid w:val="005A6F6A"/>
    <w:rsid w:val="005E2A78"/>
    <w:rsid w:val="005E49B6"/>
    <w:rsid w:val="005F25CF"/>
    <w:rsid w:val="006136F6"/>
    <w:rsid w:val="006546CD"/>
    <w:rsid w:val="00666E5A"/>
    <w:rsid w:val="00675CE7"/>
    <w:rsid w:val="00692B1E"/>
    <w:rsid w:val="006A0B9B"/>
    <w:rsid w:val="006C159D"/>
    <w:rsid w:val="006C16CC"/>
    <w:rsid w:val="006C4C01"/>
    <w:rsid w:val="006C5CB4"/>
    <w:rsid w:val="006E7106"/>
    <w:rsid w:val="006E7614"/>
    <w:rsid w:val="006F60F9"/>
    <w:rsid w:val="00720134"/>
    <w:rsid w:val="00735AB8"/>
    <w:rsid w:val="00737BB7"/>
    <w:rsid w:val="007510E6"/>
    <w:rsid w:val="007561B5"/>
    <w:rsid w:val="007564B2"/>
    <w:rsid w:val="00756909"/>
    <w:rsid w:val="00760B69"/>
    <w:rsid w:val="00763A70"/>
    <w:rsid w:val="0077685B"/>
    <w:rsid w:val="007868C8"/>
    <w:rsid w:val="00790F1F"/>
    <w:rsid w:val="007936D8"/>
    <w:rsid w:val="007A74E8"/>
    <w:rsid w:val="007E5442"/>
    <w:rsid w:val="007F4831"/>
    <w:rsid w:val="007F50BA"/>
    <w:rsid w:val="007F5F1D"/>
    <w:rsid w:val="00813D2D"/>
    <w:rsid w:val="008266BC"/>
    <w:rsid w:val="0083790E"/>
    <w:rsid w:val="0084083D"/>
    <w:rsid w:val="0084376C"/>
    <w:rsid w:val="0084594D"/>
    <w:rsid w:val="008675C3"/>
    <w:rsid w:val="00882BAE"/>
    <w:rsid w:val="008908C5"/>
    <w:rsid w:val="008B7859"/>
    <w:rsid w:val="008C5E31"/>
    <w:rsid w:val="008D1123"/>
    <w:rsid w:val="008D5844"/>
    <w:rsid w:val="008E0825"/>
    <w:rsid w:val="008E0889"/>
    <w:rsid w:val="008F1799"/>
    <w:rsid w:val="0090099D"/>
    <w:rsid w:val="009361C2"/>
    <w:rsid w:val="00971157"/>
    <w:rsid w:val="009715A3"/>
    <w:rsid w:val="00991D40"/>
    <w:rsid w:val="00996851"/>
    <w:rsid w:val="009D0742"/>
    <w:rsid w:val="009D51E0"/>
    <w:rsid w:val="009E4545"/>
    <w:rsid w:val="009F1BD2"/>
    <w:rsid w:val="00A0452F"/>
    <w:rsid w:val="00A31657"/>
    <w:rsid w:val="00A318A9"/>
    <w:rsid w:val="00A32B38"/>
    <w:rsid w:val="00A36A64"/>
    <w:rsid w:val="00A43DF9"/>
    <w:rsid w:val="00A46EE8"/>
    <w:rsid w:val="00A6080F"/>
    <w:rsid w:val="00A870C9"/>
    <w:rsid w:val="00A9204B"/>
    <w:rsid w:val="00A970EA"/>
    <w:rsid w:val="00AA0B98"/>
    <w:rsid w:val="00AA5EEC"/>
    <w:rsid w:val="00AB666F"/>
    <w:rsid w:val="00AC4717"/>
    <w:rsid w:val="00AE62A4"/>
    <w:rsid w:val="00AF06CC"/>
    <w:rsid w:val="00AF0D9B"/>
    <w:rsid w:val="00AF179A"/>
    <w:rsid w:val="00AF4C9D"/>
    <w:rsid w:val="00B0591C"/>
    <w:rsid w:val="00B31DD8"/>
    <w:rsid w:val="00B40C3D"/>
    <w:rsid w:val="00B46755"/>
    <w:rsid w:val="00B53D36"/>
    <w:rsid w:val="00B57120"/>
    <w:rsid w:val="00B74F50"/>
    <w:rsid w:val="00B828F2"/>
    <w:rsid w:val="00B8645C"/>
    <w:rsid w:val="00B9462A"/>
    <w:rsid w:val="00BB10A0"/>
    <w:rsid w:val="00BB1C28"/>
    <w:rsid w:val="00BB45F0"/>
    <w:rsid w:val="00BC1D13"/>
    <w:rsid w:val="00BC41BC"/>
    <w:rsid w:val="00C01EC9"/>
    <w:rsid w:val="00C03D71"/>
    <w:rsid w:val="00C12DC6"/>
    <w:rsid w:val="00C304DF"/>
    <w:rsid w:val="00C37E06"/>
    <w:rsid w:val="00C46F61"/>
    <w:rsid w:val="00C6334D"/>
    <w:rsid w:val="00C645AF"/>
    <w:rsid w:val="00C908BD"/>
    <w:rsid w:val="00CB7F5E"/>
    <w:rsid w:val="00CF56DB"/>
    <w:rsid w:val="00D2628B"/>
    <w:rsid w:val="00D32762"/>
    <w:rsid w:val="00D619DB"/>
    <w:rsid w:val="00D643E9"/>
    <w:rsid w:val="00D813D3"/>
    <w:rsid w:val="00D927F7"/>
    <w:rsid w:val="00DA3235"/>
    <w:rsid w:val="00DB4618"/>
    <w:rsid w:val="00DD4439"/>
    <w:rsid w:val="00DD5C52"/>
    <w:rsid w:val="00E04310"/>
    <w:rsid w:val="00E04A23"/>
    <w:rsid w:val="00E11674"/>
    <w:rsid w:val="00E30562"/>
    <w:rsid w:val="00E313D2"/>
    <w:rsid w:val="00E41D5D"/>
    <w:rsid w:val="00E62F3B"/>
    <w:rsid w:val="00E70B97"/>
    <w:rsid w:val="00E92876"/>
    <w:rsid w:val="00E92DD1"/>
    <w:rsid w:val="00EA3BFC"/>
    <w:rsid w:val="00EA7354"/>
    <w:rsid w:val="00EC2C97"/>
    <w:rsid w:val="00ED0DE1"/>
    <w:rsid w:val="00EF0ED1"/>
    <w:rsid w:val="00F01D3D"/>
    <w:rsid w:val="00F1766B"/>
    <w:rsid w:val="00F229A4"/>
    <w:rsid w:val="00F24F4D"/>
    <w:rsid w:val="00F31733"/>
    <w:rsid w:val="00F32638"/>
    <w:rsid w:val="00F37FE4"/>
    <w:rsid w:val="00F476FD"/>
    <w:rsid w:val="00F73F0F"/>
    <w:rsid w:val="00F80F79"/>
    <w:rsid w:val="00F901E2"/>
    <w:rsid w:val="00FA446E"/>
    <w:rsid w:val="00FA5651"/>
    <w:rsid w:val="00FB0C2D"/>
    <w:rsid w:val="00FB424F"/>
    <w:rsid w:val="00FC1801"/>
    <w:rsid w:val="00FC2251"/>
    <w:rsid w:val="00FE082F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MPtext">
    <w:name w:val="MP_text"/>
    <w:basedOn w:val="Normln"/>
    <w:link w:val="MPtextChar"/>
    <w:uiPriority w:val="99"/>
    <w:rsid w:val="002B70D1"/>
    <w:pPr>
      <w:spacing w:after="120" w:line="312" w:lineRule="auto"/>
    </w:pPr>
    <w:rPr>
      <w:rFonts w:ascii="Arial" w:eastAsia="Times New Roman" w:hAnsi="Arial" w:cs="Arial"/>
      <w:sz w:val="20"/>
      <w:szCs w:val="20"/>
    </w:rPr>
  </w:style>
  <w:style w:type="character" w:customStyle="1" w:styleId="MPtextChar">
    <w:name w:val="MP_text Char"/>
    <w:link w:val="MPtext"/>
    <w:uiPriority w:val="99"/>
    <w:locked/>
    <w:rsid w:val="002B70D1"/>
    <w:rPr>
      <w:rFonts w:eastAsia="Times New Roman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B70D1"/>
    <w:pPr>
      <w:spacing w:after="1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0D1"/>
    <w:rPr>
      <w:rFonts w:eastAsia="Times New Roman" w:cs="Times New Roman"/>
      <w:szCs w:val="24"/>
      <w:lang w:eastAsia="cs-CZ"/>
    </w:rPr>
  </w:style>
  <w:style w:type="paragraph" w:customStyle="1" w:styleId="Odstavec">
    <w:name w:val="Odstavec"/>
    <w:basedOn w:val="Zkladntext"/>
    <w:uiPriority w:val="99"/>
    <w:rsid w:val="002B70D1"/>
    <w:pPr>
      <w:widowControl w:val="0"/>
      <w:spacing w:after="115" w:line="288" w:lineRule="auto"/>
      <w:ind w:firstLine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08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08C5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8908C5"/>
    <w:rPr>
      <w:vertAlign w:val="superscript"/>
    </w:rPr>
  </w:style>
  <w:style w:type="character" w:customStyle="1" w:styleId="OM-zhlavplohyChar">
    <w:name w:val="OM - záhlaví přílohy Char"/>
    <w:basedOn w:val="Standardnpsmoodstavce"/>
    <w:link w:val="OM-zhlavplohy"/>
    <w:locked/>
    <w:rsid w:val="00F901E2"/>
    <w:rPr>
      <w:rFonts w:asciiTheme="minorHAnsi" w:eastAsia="Times New Roman" w:hAnsiTheme="minorHAnsi" w:cs="Arial"/>
      <w:b/>
      <w:bCs/>
      <w:i/>
      <w:color w:val="003399"/>
      <w:lang w:eastAsia="cs-CZ"/>
    </w:rPr>
  </w:style>
  <w:style w:type="paragraph" w:customStyle="1" w:styleId="OM-zhlavplohy">
    <w:name w:val="OM - záhlaví přílohy"/>
    <w:basedOn w:val="Normln"/>
    <w:link w:val="OM-zhlavplohyChar"/>
    <w:qFormat/>
    <w:rsid w:val="00F901E2"/>
    <w:pPr>
      <w:keepNext/>
      <w:spacing w:before="240" w:after="240" w:line="240" w:lineRule="auto"/>
      <w:ind w:left="357" w:hanging="357"/>
      <w:jc w:val="left"/>
      <w:outlineLvl w:val="0"/>
    </w:pPr>
    <w:rPr>
      <w:rFonts w:eastAsia="Times New Roman" w:cs="Arial"/>
      <w:b/>
      <w:bCs/>
      <w:i/>
      <w:color w:val="00339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15OPMSMT0001-28-104271</_dlc_DocId>
    <_dlc_DocIdUrl xmlns="0104a4cd-1400-468e-be1b-c7aad71d7d5a">
      <Url>http://op.msmt.cz/_layouts/15/DocIdRedir.aspx?ID=15OPMSMT0001-28-104271</Url>
      <Description>15OPMSMT0001-28-104271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1356-0DBF-4676-AEB4-5B6F3D7B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97E985CA-8B0D-482E-B1F1-A249A236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Dokument k úpravám v revizích</dc:description>
  <cp:lastModifiedBy>Pachlová Lenka</cp:lastModifiedBy>
  <cp:revision>2</cp:revision>
  <cp:lastPrinted>2019-05-03T13:43:00Z</cp:lastPrinted>
  <dcterms:created xsi:type="dcterms:W3CDTF">2019-11-07T14:00:00Z</dcterms:created>
  <dcterms:modified xsi:type="dcterms:W3CDTF">2019-11-07T14:00:00Z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0cf52dfd-1d70-450a-8b01-0f37c2fa1eb0</vt:lpwstr>
  </property>
  <property fmtid="{D5CDD505-2E9C-101B-9397-08002B2CF9AE}" pid="4" name="Komentář">
    <vt:lpwstr>předepsané písmo Calibri</vt:lpwstr>
  </property>
</Properties>
</file>