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6A6C" w14:textId="58131684" w:rsidR="00151031" w:rsidRPr="001E0047" w:rsidRDefault="00151031" w:rsidP="003264AF">
      <w:pPr>
        <w:tabs>
          <w:tab w:val="left" w:pos="2580"/>
        </w:tabs>
        <w:autoSpaceDE w:val="0"/>
        <w:autoSpaceDN w:val="0"/>
        <w:adjustRightInd w:val="0"/>
        <w:spacing w:before="60" w:after="60" w:line="240" w:lineRule="auto"/>
        <w:contextualSpacing/>
        <w:jc w:val="center"/>
        <w:rPr>
          <w:rFonts w:cs="Arial"/>
          <w:b/>
          <w:lang w:val="en-GB"/>
        </w:rPr>
      </w:pPr>
      <w:r w:rsidRPr="001E0047">
        <w:rPr>
          <w:rFonts w:cs="Arial"/>
          <w:b/>
          <w:lang w:val="en-GB" w:bidi="en-US"/>
        </w:rPr>
        <w:t>Annex to the Project Implementation</w:t>
      </w:r>
      <w:r w:rsidR="00705260">
        <w:rPr>
          <w:rFonts w:cs="Arial"/>
          <w:b/>
          <w:lang w:val="en-GB" w:bidi="en-US"/>
        </w:rPr>
        <w:t>/Sustainability</w:t>
      </w:r>
      <w:r w:rsidRPr="001E0047">
        <w:rPr>
          <w:rFonts w:cs="Arial"/>
          <w:b/>
          <w:lang w:val="en-GB" w:bidi="en-US"/>
        </w:rPr>
        <w:t xml:space="preserve"> Report</w:t>
      </w:r>
    </w:p>
    <w:p w14:paraId="1C550761" w14:textId="667E8B00" w:rsidR="00151031" w:rsidRPr="001E0047" w:rsidRDefault="000923B1" w:rsidP="003264AF">
      <w:pPr>
        <w:spacing w:before="60" w:after="60" w:line="240" w:lineRule="auto"/>
        <w:jc w:val="center"/>
        <w:rPr>
          <w:rFonts w:eastAsia="Times New Roman" w:cs="Arial"/>
          <w:b/>
          <w:bCs/>
          <w:color w:val="000000"/>
          <w:lang w:val="en-GB" w:eastAsia="cs-CZ"/>
        </w:rPr>
      </w:pPr>
      <w:r w:rsidRPr="001E0047">
        <w:rPr>
          <w:rFonts w:eastAsia="Times New Roman" w:cs="Arial"/>
          <w:b/>
          <w:color w:val="000000"/>
          <w:lang w:val="en-GB" w:bidi="en-US"/>
        </w:rPr>
        <w:t xml:space="preserve">Overview of </w:t>
      </w:r>
      <w:r w:rsidR="00C86FE2">
        <w:rPr>
          <w:rFonts w:eastAsia="Times New Roman" w:cs="Arial"/>
          <w:b/>
          <w:color w:val="000000"/>
          <w:lang w:val="en-GB" w:bidi="en-US"/>
        </w:rPr>
        <w:t>the E</w:t>
      </w:r>
      <w:r w:rsidRPr="001E0047">
        <w:rPr>
          <w:rFonts w:eastAsia="Times New Roman" w:cs="Arial"/>
          <w:b/>
          <w:color w:val="000000"/>
          <w:lang w:val="en-GB" w:bidi="en-US"/>
        </w:rPr>
        <w:t xml:space="preserve">conomic </w:t>
      </w:r>
      <w:r w:rsidR="00C86FE2">
        <w:rPr>
          <w:rFonts w:eastAsia="Times New Roman" w:cs="Arial"/>
          <w:b/>
          <w:color w:val="000000"/>
          <w:lang w:val="en-GB" w:bidi="en-US"/>
        </w:rPr>
        <w:t>U</w:t>
      </w:r>
      <w:r w:rsidRPr="001E0047">
        <w:rPr>
          <w:rFonts w:eastAsia="Times New Roman" w:cs="Arial"/>
          <w:b/>
          <w:color w:val="000000"/>
          <w:lang w:val="en-GB" w:bidi="en-US"/>
        </w:rPr>
        <w:t xml:space="preserve">se of </w:t>
      </w:r>
      <w:r w:rsidR="006673E6">
        <w:rPr>
          <w:rFonts w:eastAsia="Times New Roman" w:cs="Arial"/>
          <w:b/>
          <w:color w:val="000000"/>
          <w:lang w:val="en-GB" w:bidi="en-US"/>
        </w:rPr>
        <w:t xml:space="preserve">the </w:t>
      </w:r>
      <w:r w:rsidR="00C86FE2">
        <w:rPr>
          <w:rFonts w:eastAsia="Times New Roman" w:cs="Arial"/>
          <w:b/>
          <w:color w:val="000000"/>
          <w:lang w:val="en-GB" w:bidi="en-US"/>
        </w:rPr>
        <w:t>S</w:t>
      </w:r>
      <w:r w:rsidR="006673E6">
        <w:rPr>
          <w:rFonts w:eastAsia="Times New Roman" w:cs="Arial"/>
          <w:b/>
          <w:color w:val="000000"/>
          <w:lang w:val="en-GB" w:bidi="en-US"/>
        </w:rPr>
        <w:t xml:space="preserve">upported </w:t>
      </w:r>
      <w:r w:rsidR="00C86FE2">
        <w:rPr>
          <w:rFonts w:eastAsia="Times New Roman" w:cs="Arial"/>
          <w:b/>
          <w:color w:val="000000"/>
          <w:lang w:val="en-GB" w:bidi="en-US"/>
        </w:rPr>
        <w:t>C</w:t>
      </w:r>
      <w:r w:rsidRPr="001E0047">
        <w:rPr>
          <w:rFonts w:eastAsia="Times New Roman" w:cs="Arial"/>
          <w:b/>
          <w:color w:val="000000"/>
          <w:lang w:val="en-GB" w:bidi="en-US"/>
        </w:rPr>
        <w:t>apacities</w:t>
      </w:r>
    </w:p>
    <w:p w14:paraId="0508CDF0" w14:textId="0873278C" w:rsidR="00151031" w:rsidRPr="001E0047" w:rsidRDefault="00151031" w:rsidP="003264AF">
      <w:pPr>
        <w:spacing w:before="60" w:after="60" w:line="240" w:lineRule="auto"/>
        <w:jc w:val="center"/>
        <w:rPr>
          <w:rFonts w:eastAsia="Times New Roman" w:cs="Arial"/>
          <w:bCs/>
          <w:i/>
          <w:color w:val="000000"/>
          <w:lang w:val="en-GB" w:eastAsia="cs-CZ"/>
        </w:rPr>
      </w:pPr>
      <w:r w:rsidRPr="001E0047">
        <w:rPr>
          <w:rFonts w:eastAsia="Times New Roman" w:cs="Arial"/>
          <w:i/>
          <w:color w:val="000000"/>
          <w:lang w:val="en-GB" w:bidi="en-US"/>
        </w:rPr>
        <w:t>(fill in blank fields</w:t>
      </w:r>
      <w:r w:rsidR="006673E6">
        <w:rPr>
          <w:rFonts w:eastAsia="Times New Roman" w:cs="Arial"/>
          <w:i/>
          <w:color w:val="000000"/>
          <w:lang w:val="en-GB" w:bidi="en-US"/>
        </w:rPr>
        <w:t xml:space="preserve"> </w:t>
      </w:r>
      <w:r w:rsidRPr="001E0047">
        <w:rPr>
          <w:rFonts w:eastAsia="Times New Roman" w:cs="Arial"/>
          <w:i/>
          <w:color w:val="000000"/>
          <w:lang w:val="en-GB" w:bidi="en-US"/>
        </w:rPr>
        <w:t>/</w:t>
      </w:r>
      <w:r w:rsidR="006673E6">
        <w:rPr>
          <w:rFonts w:eastAsia="Times New Roman" w:cs="Arial"/>
          <w:i/>
          <w:color w:val="000000"/>
          <w:lang w:val="en-GB" w:bidi="en-US"/>
        </w:rPr>
        <w:t xml:space="preserve"> </w:t>
      </w:r>
      <w:r w:rsidRPr="001E0047">
        <w:rPr>
          <w:rFonts w:eastAsia="Times New Roman" w:cs="Arial"/>
          <w:i/>
          <w:color w:val="000000"/>
          <w:lang w:val="en-GB" w:bidi="en-US"/>
        </w:rPr>
        <w:t>check where appropriate)</w:t>
      </w:r>
    </w:p>
    <w:p w14:paraId="685CE8AC" w14:textId="77777777" w:rsidR="00913FD3" w:rsidRPr="001E0047" w:rsidRDefault="00913FD3" w:rsidP="003264AF">
      <w:pPr>
        <w:spacing w:before="60" w:after="60" w:line="240" w:lineRule="auto"/>
        <w:jc w:val="center"/>
        <w:rPr>
          <w:rFonts w:eastAsia="Times New Roman" w:cs="Arial"/>
          <w:bCs/>
          <w:i/>
          <w:color w:val="000000"/>
          <w:lang w:val="en-GB" w:eastAsia="cs-CZ"/>
        </w:rPr>
      </w:pPr>
    </w:p>
    <w:p w14:paraId="4AF04B42" w14:textId="692250C5" w:rsidR="000A0EE4" w:rsidRPr="001E0047" w:rsidRDefault="000A0EE4" w:rsidP="000A0EE4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val="en-GB" w:eastAsia="cs-CZ"/>
        </w:rPr>
      </w:pPr>
      <w:r w:rsidRPr="001E0047">
        <w:rPr>
          <w:rFonts w:eastAsia="Times New Roman" w:cs="Arial"/>
          <w:b/>
          <w:color w:val="000000"/>
          <w:sz w:val="24"/>
          <w:szCs w:val="24"/>
          <w:lang w:val="en-GB" w:bidi="en-US"/>
        </w:rPr>
        <w:t>Introductory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8"/>
      </w:tblGrid>
      <w:tr w:rsidR="00151031" w:rsidRPr="001E0047" w14:paraId="0CF31B02" w14:textId="77777777" w:rsidTr="007C0EE6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3DD11E6B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Project title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A88CB7C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</w:p>
        </w:tc>
      </w:tr>
      <w:tr w:rsidR="00277C1A" w:rsidRPr="001E0047" w14:paraId="7201D9C8" w14:textId="77777777" w:rsidTr="007C0EE6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226B907A" w14:textId="4C0CCB63" w:rsidR="00277C1A" w:rsidRPr="001E0047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Project number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392638D" w14:textId="77777777" w:rsidR="00277C1A" w:rsidRPr="001E0047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</w:p>
        </w:tc>
      </w:tr>
      <w:tr w:rsidR="00151031" w:rsidRPr="001E0047" w14:paraId="49C085F0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655FCFBA" w14:textId="14688525" w:rsidR="00151031" w:rsidRPr="001E0047" w:rsidRDefault="003916DF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>
              <w:rPr>
                <w:rFonts w:eastAsia="Times New Roman" w:cs="Arial"/>
                <w:b/>
                <w:color w:val="000000"/>
                <w:lang w:val="en-GB" w:bidi="en-US"/>
              </w:rPr>
              <w:t>Subject</w:t>
            </w:r>
            <w:r w:rsidRPr="001E0047">
              <w:rPr>
                <w:rFonts w:eastAsia="Times New Roman" w:cs="Arial"/>
                <w:color w:val="000000"/>
                <w:lang w:val="en-GB" w:bidi="en-US"/>
              </w:rPr>
              <w:t>’</w:t>
            </w: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s </w:t>
            </w:r>
            <w:r w:rsidR="000A0EE4"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name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7B0EEA9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</w:p>
        </w:tc>
      </w:tr>
      <w:tr w:rsidR="000A0EE4" w:rsidRPr="001E0047" w14:paraId="318217E2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3A6EBAF3" w14:textId="08C8A7E6" w:rsidR="000A0EE4" w:rsidRPr="001E0047" w:rsidDel="000A0EE4" w:rsidRDefault="000A0EE4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The </w:t>
            </w:r>
            <w:r w:rsidR="003916DF">
              <w:rPr>
                <w:rFonts w:eastAsia="Times New Roman" w:cs="Arial"/>
                <w:b/>
                <w:color w:val="000000"/>
                <w:lang w:val="en-GB" w:bidi="en-US"/>
              </w:rPr>
              <w:t>subject</w:t>
            </w:r>
            <w:r w:rsidR="003916DF"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 </w:t>
            </w: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is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068FC81" w14:textId="7C207ADF" w:rsidR="000A0EE4" w:rsidRPr="001E0047" w:rsidRDefault="003F6C49" w:rsidP="000A0EE4">
            <w:pPr>
              <w:spacing w:before="60" w:after="60" w:line="240" w:lineRule="auto"/>
              <w:rPr>
                <w:rFonts w:eastAsia="MS Gothic" w:cs="Segoe UI Symbo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31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B67" w:rsidRPr="001E0047">
                  <w:rPr>
                    <w:rFonts w:ascii="MS Gothic" w:eastAsia="MS Gothic" w:hAnsi="MS Gothic" w:cs="Aria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a beneficiary</w:t>
            </w:r>
          </w:p>
          <w:p w14:paraId="4506D0B9" w14:textId="46ABBCE0" w:rsidR="000A0EE4" w:rsidRPr="001E0047" w:rsidRDefault="003F6C49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sdt>
              <w:sdtPr>
                <w:rPr>
                  <w:rFonts w:cs="Arial"/>
                  <w:lang w:val="en-GB"/>
                </w:rPr>
                <w:id w:val="4430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Segoe UI Symbol" w:eastAsia="MS Gothic" w:hAnsi="Segoe UI Symbol" w:cs="Segoe UI Symbo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a partner</w:t>
            </w:r>
          </w:p>
        </w:tc>
      </w:tr>
      <w:tr w:rsidR="00151031" w:rsidRPr="001E0047" w14:paraId="175CCCA5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79DF1908" w14:textId="52F8C089" w:rsidR="00151031" w:rsidRPr="001E0047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Registered office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ED047BB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</w:p>
        </w:tc>
      </w:tr>
      <w:tr w:rsidR="00151031" w:rsidRPr="001E0047" w14:paraId="7A9D4701" w14:textId="77777777" w:rsidTr="007C0EE6">
        <w:tc>
          <w:tcPr>
            <w:tcW w:w="3998" w:type="dxa"/>
            <w:shd w:val="clear" w:color="auto" w:fill="E7E6E6" w:themeFill="background2"/>
            <w:vAlign w:val="center"/>
          </w:tcPr>
          <w:p w14:paraId="5E238538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Company registration No. (IČ/IČO):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3BAA6CA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</w:p>
        </w:tc>
      </w:tr>
      <w:tr w:rsidR="00151031" w:rsidRPr="001E0047" w14:paraId="58881E60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9F755" w14:textId="414339BC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Authorized representative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6F64" w14:textId="77777777" w:rsidR="00151031" w:rsidRPr="001E0047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</w:p>
        </w:tc>
      </w:tr>
      <w:tr w:rsidR="000923B1" w:rsidRPr="001E0047" w14:paraId="08838452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23AEA" w14:textId="77777777" w:rsidR="000923B1" w:rsidRPr="001E0047" w:rsidRDefault="000923B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Reporting period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0E61" w14:textId="24874057" w:rsidR="000923B1" w:rsidRPr="001E0047" w:rsidRDefault="000923B1" w:rsidP="003264AF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en-GB" w:eastAsia="cs-CZ"/>
              </w:rPr>
            </w:pPr>
          </w:p>
        </w:tc>
      </w:tr>
      <w:tr w:rsidR="000A0EE4" w:rsidRPr="001E0047" w14:paraId="36B90226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259E06" w14:textId="18B3F117" w:rsidR="000A0EE4" w:rsidRPr="001E0047" w:rsidRDefault="000A0EE4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Does project implementation involve a partner/partners?</w:t>
            </w:r>
            <w:r w:rsidRPr="001E0047">
              <w:rPr>
                <w:rStyle w:val="Znakapoznpodarou"/>
                <w:rFonts w:eastAsia="Times New Roman" w:cs="Arial"/>
                <w:b/>
                <w:color w:val="000000"/>
                <w:lang w:val="en-GB" w:bidi="en-US"/>
              </w:rPr>
              <w:footnoteReference w:id="1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845" w14:textId="77777777" w:rsidR="000A0EE4" w:rsidRPr="001E0047" w:rsidRDefault="003F6C49" w:rsidP="000A0EE4">
            <w:pPr>
              <w:spacing w:before="60" w:after="60" w:line="240" w:lineRule="auto"/>
              <w:rPr>
                <w:rFonts w:eastAsia="MS Gothic" w:cs="Segoe UI Symbo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3499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Segoe UI Symbol" w:eastAsia="MS Gothic" w:hAnsi="Segoe UI Symbol" w:cs="Segoe UI Symbo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yes</w:t>
            </w:r>
          </w:p>
          <w:p w14:paraId="752C11EF" w14:textId="1C9DA918" w:rsidR="000A0EE4" w:rsidRPr="001E0047" w:rsidRDefault="003F6C49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en-GB" w:eastAsia="cs-CZ"/>
              </w:rPr>
            </w:pPr>
            <w:sdt>
              <w:sdtPr>
                <w:rPr>
                  <w:rFonts w:cs="Arial"/>
                  <w:lang w:val="en-GB"/>
                </w:rPr>
                <w:id w:val="-15689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Segoe UI Symbol" w:eastAsia="MS Gothic" w:hAnsi="Segoe UI Symbol" w:cs="Segoe UI Symbo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no</w:t>
            </w:r>
          </w:p>
        </w:tc>
      </w:tr>
      <w:tr w:rsidR="000A0EE4" w:rsidRPr="001E0047" w14:paraId="48B527DC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6B8D2" w14:textId="676CB204" w:rsidR="000A0EE4" w:rsidRPr="001E0047" w:rsidRDefault="000A0EE4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In what manner is the Overview submitted?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B6A" w14:textId="77777777" w:rsidR="000A0EE4" w:rsidRPr="001E0047" w:rsidRDefault="003F6C49" w:rsidP="000A0EE4">
            <w:pPr>
              <w:spacing w:before="60" w:after="60" w:line="240" w:lineRule="auto"/>
              <w:ind w:left="176" w:hanging="176"/>
              <w:rPr>
                <w:rFonts w:eastAsia="MS Gothic" w:cs="Segoe UI Symbo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0984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Segoe UI Symbol" w:eastAsia="MS Gothic" w:hAnsi="Segoe UI Symbol" w:cs="Segoe UI Symbo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the beneficiary and all its partners </w:t>
            </w:r>
            <w:r w:rsidR="000A0EE4" w:rsidRPr="001E0047">
              <w:rPr>
                <w:rStyle w:val="Znakapoznpodarou"/>
                <w:rFonts w:eastAsia="Times New Roman" w:cs="Arial"/>
                <w:b/>
                <w:color w:val="000000"/>
                <w:lang w:val="en-GB" w:bidi="en-US"/>
              </w:rPr>
              <w:footnoteReference w:id="2"/>
            </w:r>
            <w:r w:rsidR="000A0EE4" w:rsidRPr="001E0047">
              <w:rPr>
                <w:rFonts w:eastAsia="MS Gothic" w:cs="Segoe UI Symbol"/>
                <w:lang w:val="en-GB" w:bidi="en-US"/>
              </w:rPr>
              <w:t xml:space="preserve"> submit separate overviews</w:t>
            </w:r>
          </w:p>
          <w:p w14:paraId="1B1D28DB" w14:textId="345223EE" w:rsidR="000A0EE4" w:rsidRPr="001E0047" w:rsidRDefault="003F6C49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en-GB" w:eastAsia="cs-CZ"/>
              </w:rPr>
            </w:pPr>
            <w:sdt>
              <w:sdtPr>
                <w:rPr>
                  <w:rFonts w:cs="Arial"/>
                  <w:lang w:val="en-GB"/>
                </w:rPr>
                <w:id w:val="-19345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Segoe UI Symbol" w:eastAsia="MS Gothic" w:hAnsi="Segoe UI Symbol" w:cs="Segoe UI Symbo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the beneficiary submits a summarizing overview for the entire project</w:t>
            </w:r>
          </w:p>
        </w:tc>
      </w:tr>
      <w:tr w:rsidR="000A0EE4" w:rsidRPr="001E0047" w14:paraId="06AB32EC" w14:textId="77777777" w:rsidTr="007C0EE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22217" w14:textId="77777777" w:rsidR="000A0EE4" w:rsidRPr="001E0047" w:rsidRDefault="000A0EE4" w:rsidP="000A0EE4">
            <w:pPr>
              <w:spacing w:before="60" w:after="60" w:line="240" w:lineRule="auto"/>
              <w:rPr>
                <w:b/>
                <w:lang w:val="en-GB"/>
              </w:rPr>
            </w:pPr>
            <w:r w:rsidRPr="001E0047">
              <w:rPr>
                <w:b/>
                <w:lang w:val="en-GB" w:bidi="en-US"/>
              </w:rPr>
              <w:t>In the reporting period, the beneficiary/partner has had the following:</w:t>
            </w:r>
          </w:p>
          <w:p w14:paraId="4C72CE95" w14:textId="1EC2D811" w:rsidR="000A0EE4" w:rsidRPr="001E0047" w:rsidRDefault="000A0EE4" w:rsidP="000A0EE4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347" w:hanging="284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color w:val="000000"/>
                <w:lang w:val="en-GB" w:bidi="en-US"/>
              </w:rPr>
              <w:t xml:space="preserve">fixed assets acquired from an OP RDE project </w:t>
            </w: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(such as </w:t>
            </w:r>
            <w:r w:rsidR="00F05A2B">
              <w:rPr>
                <w:rFonts w:eastAsia="Times New Roman" w:cs="Arial"/>
                <w:b/>
                <w:color w:val="000000"/>
                <w:lang w:val="en-GB" w:bidi="en-US"/>
              </w:rPr>
              <w:t>equipment</w:t>
            </w:r>
            <w:r w:rsidR="00F05A2B"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 </w:t>
            </w: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and </w:t>
            </w:r>
            <w:r w:rsidR="00F05A2B">
              <w:rPr>
                <w:rFonts w:eastAsia="Times New Roman" w:cs="Arial"/>
                <w:b/>
                <w:color w:val="000000"/>
                <w:lang w:val="en-GB" w:bidi="en-US"/>
              </w:rPr>
              <w:t>premises</w:t>
            </w: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) that has not been fully depreciated/excluded from assets, and/or</w:t>
            </w:r>
          </w:p>
          <w:p w14:paraId="7B08AD5D" w14:textId="036E65E5" w:rsidR="000A0EE4" w:rsidRPr="001E0047" w:rsidRDefault="000A0EE4" w:rsidP="00362A32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347" w:hanging="284"/>
              <w:rPr>
                <w:rFonts w:eastAsia="Times New Roman" w:cs="Arial"/>
                <w:b/>
                <w:bCs/>
                <w:color w:val="000000"/>
                <w:lang w:val="en-GB" w:eastAsia="cs-CZ"/>
              </w:rPr>
            </w:pP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 xml:space="preserve">jobs that have been </w:t>
            </w:r>
            <w:r w:rsidR="00362A32">
              <w:rPr>
                <w:rFonts w:eastAsia="Times New Roman" w:cs="Arial"/>
                <w:b/>
                <w:color w:val="000000"/>
                <w:lang w:val="en-GB" w:bidi="en-US"/>
              </w:rPr>
              <w:t xml:space="preserve">supported </w:t>
            </w:r>
            <w:r w:rsidRPr="001E0047">
              <w:rPr>
                <w:rFonts w:eastAsia="Times New Roman" w:cs="Arial"/>
                <w:b/>
                <w:color w:val="000000"/>
                <w:lang w:val="en-GB" w:bidi="en-US"/>
              </w:rPr>
              <w:t>under an OP RDE project?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695" w14:textId="10283073" w:rsidR="000A0EE4" w:rsidRPr="001E0047" w:rsidRDefault="003F6C49" w:rsidP="000A0EE4">
            <w:pPr>
              <w:spacing w:before="60" w:after="60" w:line="240" w:lineRule="auto"/>
              <w:rPr>
                <w:rFonts w:eastAsia="MS Gothic" w:cs="Segoe UI Symbo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9197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MS Gothic" w:eastAsia="MS Gothic" w:hAnsi="MS Gothic" w:cs="Aria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yes</w:t>
            </w:r>
          </w:p>
          <w:p w14:paraId="16EFC026" w14:textId="550C8ED9" w:rsidR="000A0EE4" w:rsidRPr="001E0047" w:rsidRDefault="003F6C49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en-GB" w:eastAsia="cs-CZ"/>
              </w:rPr>
            </w:pPr>
            <w:sdt>
              <w:sdtPr>
                <w:rPr>
                  <w:rFonts w:cs="Arial"/>
                  <w:lang w:val="en-GB"/>
                </w:rPr>
                <w:id w:val="-2242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E0047">
                  <w:rPr>
                    <w:rFonts w:ascii="Segoe UI Symbol" w:eastAsia="MS Gothic" w:hAnsi="Segoe UI Symbol" w:cs="Segoe UI Symbol"/>
                    <w:lang w:val="en-GB" w:bidi="en-US"/>
                  </w:rPr>
                  <w:t>☐</w:t>
                </w:r>
              </w:sdtContent>
            </w:sdt>
            <w:r w:rsidR="000A0EE4" w:rsidRPr="001E0047">
              <w:rPr>
                <w:rFonts w:eastAsia="MS Gothic" w:cs="Segoe UI Symbol"/>
                <w:lang w:val="en-GB" w:bidi="en-US"/>
              </w:rPr>
              <w:t xml:space="preserve"> no</w:t>
            </w:r>
          </w:p>
        </w:tc>
      </w:tr>
    </w:tbl>
    <w:p w14:paraId="475951A1" w14:textId="77777777" w:rsidR="00F8769A" w:rsidRPr="001E0047" w:rsidRDefault="00F8769A" w:rsidP="00F8769A">
      <w:pPr>
        <w:pStyle w:val="Odstavecseseznamem"/>
        <w:spacing w:before="120" w:after="60" w:line="240" w:lineRule="auto"/>
        <w:ind w:left="357"/>
        <w:rPr>
          <w:rFonts w:cs="Arial"/>
          <w:sz w:val="20"/>
          <w:szCs w:val="20"/>
          <w:lang w:val="en-GB"/>
        </w:rPr>
      </w:pPr>
    </w:p>
    <w:p w14:paraId="037DE06F" w14:textId="1328A385" w:rsidR="00AC6E8F" w:rsidRPr="001E0047" w:rsidRDefault="00AC6E8F" w:rsidP="00913FD3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val="en-GB" w:eastAsia="cs-CZ"/>
        </w:rPr>
      </w:pPr>
      <w:r w:rsidRPr="001E0047">
        <w:rPr>
          <w:rFonts w:eastAsia="Times New Roman" w:cs="Arial"/>
          <w:b/>
          <w:color w:val="000000"/>
          <w:sz w:val="24"/>
          <w:szCs w:val="24"/>
          <w:u w:val="single"/>
          <w:lang w:val="en-GB" w:bidi="en-US"/>
        </w:rPr>
        <w:t>Definition of the relevant entity</w:t>
      </w:r>
      <w:r w:rsidRPr="001E0047">
        <w:rPr>
          <w:rFonts w:eastAsia="Times New Roman" w:cs="Arial"/>
          <w:color w:val="000000"/>
          <w:sz w:val="24"/>
          <w:szCs w:val="24"/>
          <w:lang w:val="en-GB" w:bidi="en-US"/>
        </w:rPr>
        <w:t xml:space="preserve"> – please select only one variant and justify your selection</w:t>
      </w:r>
    </w:p>
    <w:p w14:paraId="76F229EF" w14:textId="2086057C" w:rsidR="00AC6E8F" w:rsidRPr="001E0047" w:rsidRDefault="003F6C49" w:rsidP="003264AF">
      <w:pPr>
        <w:spacing w:before="60" w:after="6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1741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21A" w:rsidRPr="001E0047">
            <w:rPr>
              <w:rFonts w:ascii="MS Gothic" w:eastAsia="MS Gothic" w:hAnsi="MS Gothic" w:cs="Arial"/>
              <w:lang w:val="en-GB" w:bidi="en-US"/>
            </w:rPr>
            <w:t>☐</w:t>
          </w:r>
        </w:sdtContent>
      </w:sdt>
      <w:r w:rsidR="00934135" w:rsidRPr="001E0047">
        <w:rPr>
          <w:rFonts w:cs="Arial"/>
          <w:lang w:val="en-GB" w:bidi="en-US"/>
        </w:rPr>
        <w:t xml:space="preserve"> The relevant entity as a </w:t>
      </w:r>
      <w:r w:rsidR="003916DF">
        <w:rPr>
          <w:rFonts w:cs="Arial"/>
          <w:lang w:val="en-GB" w:bidi="en-US"/>
        </w:rPr>
        <w:t>P</w:t>
      </w:r>
      <w:r w:rsidR="00934135" w:rsidRPr="001E0047">
        <w:rPr>
          <w:rFonts w:cs="Arial"/>
          <w:lang w:val="en-GB" w:bidi="en-US"/>
        </w:rPr>
        <w:t>roject supported from the OP RDE (variant A)</w:t>
      </w:r>
    </w:p>
    <w:p w14:paraId="491D73D4" w14:textId="0AAE52B8" w:rsidR="00AC6E8F" w:rsidRPr="001E0047" w:rsidRDefault="003F6C49" w:rsidP="003264AF">
      <w:pPr>
        <w:spacing w:before="60" w:after="6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43744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8F" w:rsidRPr="001E0047">
            <w:rPr>
              <w:rFonts w:ascii="Segoe UI Symbol" w:eastAsia="MS Gothic" w:hAnsi="Segoe UI Symbol" w:cs="Segoe UI Symbol"/>
              <w:lang w:val="en-GB" w:bidi="en-US"/>
            </w:rPr>
            <w:t>☐</w:t>
          </w:r>
        </w:sdtContent>
      </w:sdt>
      <w:r w:rsidR="00934135" w:rsidRPr="001E0047">
        <w:rPr>
          <w:rFonts w:cs="Arial"/>
          <w:lang w:val="en-GB" w:bidi="en-US"/>
        </w:rPr>
        <w:t xml:space="preserve"> The relevant entity as a part of a </w:t>
      </w:r>
      <w:r w:rsidR="003916DF">
        <w:rPr>
          <w:rFonts w:cs="Arial"/>
          <w:lang w:val="en-GB" w:bidi="en-US"/>
        </w:rPr>
        <w:t>P</w:t>
      </w:r>
      <w:r w:rsidR="00934135" w:rsidRPr="001E0047">
        <w:rPr>
          <w:rFonts w:cs="Arial"/>
          <w:lang w:val="en-GB" w:bidi="en-US"/>
        </w:rPr>
        <w:t>roject, supported from the OP RDE (variant B)</w:t>
      </w:r>
    </w:p>
    <w:p w14:paraId="3B2B3E15" w14:textId="11B3D0C2" w:rsidR="00AC6E8F" w:rsidRPr="001E0047" w:rsidRDefault="003F6C49" w:rsidP="003264AF">
      <w:pPr>
        <w:spacing w:before="60" w:after="6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15505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8F" w:rsidRPr="001E0047">
            <w:rPr>
              <w:rFonts w:ascii="Segoe UI Symbol" w:eastAsia="MS Gothic" w:hAnsi="Segoe UI Symbol" w:cs="Segoe UI Symbol"/>
              <w:lang w:val="en-GB" w:bidi="en-US"/>
            </w:rPr>
            <w:t>☐</w:t>
          </w:r>
        </w:sdtContent>
      </w:sdt>
      <w:r w:rsidR="00934135" w:rsidRPr="001E0047">
        <w:rPr>
          <w:rFonts w:cs="Arial"/>
          <w:lang w:val="en-GB" w:bidi="en-US"/>
        </w:rPr>
        <w:t xml:space="preserve"> The relevant entity as the grant beneficiary or an organizational part thereof (variant 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5"/>
        <w:gridCol w:w="5150"/>
      </w:tblGrid>
      <w:tr w:rsidR="000316A8" w:rsidRPr="001E0047" w14:paraId="638791C0" w14:textId="77777777" w:rsidTr="00EA556B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4219B4FB" w14:textId="77777777" w:rsidR="000316A8" w:rsidRPr="001E0047" w:rsidRDefault="000316A8" w:rsidP="003264AF">
            <w:pPr>
              <w:pStyle w:val="Odstavecseseznamem"/>
              <w:spacing w:before="60" w:after="60"/>
              <w:ind w:left="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Description of the definition of the relevant entity</w:t>
            </w:r>
            <w:r w:rsidR="00381E43" w:rsidRPr="001E0047">
              <w:rPr>
                <w:rStyle w:val="Znakapoznpodarou"/>
                <w:rFonts w:cs="Arial"/>
                <w:b/>
                <w:lang w:val="en-GB" w:bidi="en-US"/>
              </w:rPr>
              <w:footnoteReference w:id="3"/>
            </w:r>
          </w:p>
          <w:p w14:paraId="763E4F21" w14:textId="69663445" w:rsidR="00C93C23" w:rsidRPr="001E0047" w:rsidRDefault="00C93C23" w:rsidP="003264AF">
            <w:pPr>
              <w:pStyle w:val="Odstavecseseznamem"/>
              <w:spacing w:before="60" w:after="60"/>
              <w:ind w:left="0"/>
              <w:rPr>
                <w:rFonts w:cs="Arial"/>
                <w:lang w:val="en-GB"/>
              </w:rPr>
            </w:pPr>
            <w:r w:rsidRPr="001E0047">
              <w:rPr>
                <w:rFonts w:cs="Arial"/>
                <w:lang w:val="en-GB" w:bidi="en-US"/>
              </w:rPr>
              <w:lastRenderedPageBreak/>
              <w:t xml:space="preserve">Provide information on </w:t>
            </w:r>
            <w:r w:rsidR="008D6841">
              <w:rPr>
                <w:rFonts w:cs="Arial"/>
                <w:lang w:val="en-GB" w:bidi="en-US"/>
              </w:rPr>
              <w:t>profit/</w:t>
            </w:r>
            <w:r w:rsidRPr="001E0047">
              <w:rPr>
                <w:rFonts w:cs="Arial"/>
                <w:lang w:val="en-GB" w:bidi="en-US"/>
              </w:rPr>
              <w:t xml:space="preserve">cost centres (organizational units) that constitute the </w:t>
            </w:r>
            <w:r w:rsidR="00F0335E">
              <w:rPr>
                <w:rFonts w:cs="Arial"/>
                <w:lang w:val="en-GB" w:bidi="en-US"/>
              </w:rPr>
              <w:t xml:space="preserve">relevant </w:t>
            </w:r>
            <w:r w:rsidRPr="001E0047">
              <w:rPr>
                <w:rFonts w:cs="Arial"/>
                <w:lang w:val="en-GB" w:bidi="en-US"/>
              </w:rPr>
              <w:t>entity, or individual inputs included in the calculation of the relevant entity´s total capacity.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4F6EAA49" w14:textId="64769681" w:rsidR="000316A8" w:rsidRPr="001E0047" w:rsidRDefault="000316A8" w:rsidP="003264AF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0316A8" w:rsidRPr="001E0047" w14:paraId="6474F3C6" w14:textId="77777777" w:rsidTr="00EA556B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216B18C2" w14:textId="31FE8846" w:rsidR="000316A8" w:rsidRPr="001E0047" w:rsidRDefault="000316A8" w:rsidP="003264AF">
            <w:pPr>
              <w:pStyle w:val="Odstavecseseznamem"/>
              <w:spacing w:before="60" w:after="60"/>
              <w:ind w:left="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Reasons for the selected definition of the relevant entity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24A18B97" w14:textId="50185645" w:rsidR="000316A8" w:rsidRPr="001E0047" w:rsidRDefault="000316A8" w:rsidP="003264AF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</w:p>
        </w:tc>
      </w:tr>
    </w:tbl>
    <w:p w14:paraId="489D6408" w14:textId="77777777" w:rsidR="00F8769A" w:rsidRPr="001E0047" w:rsidRDefault="00F8769A" w:rsidP="00F8769A">
      <w:pPr>
        <w:pStyle w:val="Odstavecseseznamem"/>
        <w:spacing w:before="120" w:after="60" w:line="240" w:lineRule="auto"/>
        <w:ind w:left="357"/>
        <w:rPr>
          <w:rFonts w:cs="Arial"/>
          <w:b/>
          <w:sz w:val="20"/>
          <w:szCs w:val="20"/>
          <w:lang w:val="en-GB"/>
        </w:rPr>
      </w:pPr>
    </w:p>
    <w:p w14:paraId="05E93EB3" w14:textId="10F03CEC" w:rsidR="00C93C23" w:rsidRPr="001E0047" w:rsidRDefault="00E866C4" w:rsidP="00C93C23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val="en-GB" w:eastAsia="cs-CZ"/>
        </w:rPr>
      </w:pPr>
      <w:r w:rsidRPr="001E0047">
        <w:rPr>
          <w:rFonts w:eastAsia="Times New Roman" w:cs="Arial"/>
          <w:b/>
          <w:color w:val="000000"/>
          <w:sz w:val="24"/>
          <w:szCs w:val="24"/>
          <w:u w:val="single"/>
          <w:lang w:val="en-GB" w:bidi="en-US"/>
        </w:rPr>
        <w:t xml:space="preserve">The selection of a method to calculate the </w:t>
      </w:r>
      <w:r w:rsidR="000D7A65">
        <w:rPr>
          <w:rFonts w:eastAsia="Times New Roman" w:cs="Arial"/>
          <w:b/>
          <w:color w:val="000000"/>
          <w:sz w:val="24"/>
          <w:szCs w:val="24"/>
          <w:u w:val="single"/>
          <w:lang w:val="en-GB" w:bidi="en-US"/>
        </w:rPr>
        <w:t>proportion</w:t>
      </w:r>
      <w:r w:rsidRPr="001E0047">
        <w:rPr>
          <w:rFonts w:eastAsia="Times New Roman" w:cs="Arial"/>
          <w:b/>
          <w:color w:val="000000"/>
          <w:sz w:val="24"/>
          <w:szCs w:val="24"/>
          <w:u w:val="single"/>
          <w:lang w:val="en-GB" w:bidi="en-US"/>
        </w:rPr>
        <w:t xml:space="preserve"> of economic use in the total capacity of the relevant entity</w:t>
      </w:r>
      <w:r w:rsidRPr="001E0047">
        <w:rPr>
          <w:rFonts w:eastAsia="Times New Roman" w:cs="Arial"/>
          <w:color w:val="000000"/>
          <w:sz w:val="24"/>
          <w:szCs w:val="24"/>
          <w:lang w:val="en-GB" w:bidi="en-US"/>
        </w:rPr>
        <w:t xml:space="preserve"> – choose only one method and fill in the blank fields</w:t>
      </w:r>
    </w:p>
    <w:p w14:paraId="60170801" w14:textId="77777777" w:rsidR="00C93C23" w:rsidRPr="001E0047" w:rsidRDefault="003F6C49" w:rsidP="00C93C23">
      <w:pPr>
        <w:spacing w:before="120" w:after="60" w:line="240" w:lineRule="auto"/>
        <w:rPr>
          <w:rFonts w:cs="Arial"/>
          <w:b/>
          <w:szCs w:val="24"/>
          <w:lang w:val="en-GB"/>
        </w:rPr>
      </w:pPr>
      <w:sdt>
        <w:sdtPr>
          <w:rPr>
            <w:rFonts w:ascii="Segoe UI Symbol" w:eastAsia="MS Gothic" w:hAnsi="Segoe UI Symbol" w:cs="Segoe UI Symbol"/>
            <w:b/>
            <w:szCs w:val="24"/>
            <w:lang w:val="en-GB"/>
          </w:rPr>
          <w:id w:val="-12355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23" w:rsidRPr="001E0047">
            <w:rPr>
              <w:rFonts w:ascii="Segoe UI Symbol" w:eastAsia="MS Gothic" w:hAnsi="Segoe UI Symbol" w:cs="Segoe UI Symbol"/>
              <w:b/>
              <w:sz w:val="24"/>
              <w:szCs w:val="24"/>
              <w:lang w:val="en-GB" w:bidi="en-US"/>
            </w:rPr>
            <w:t>☐</w:t>
          </w:r>
        </w:sdtContent>
      </w:sdt>
      <w:r w:rsidR="00C93C23" w:rsidRPr="001E0047">
        <w:rPr>
          <w:rFonts w:cs="Arial"/>
          <w:b/>
          <w:sz w:val="24"/>
          <w:szCs w:val="24"/>
          <w:lang w:val="en-GB" w:bidi="en-US"/>
        </w:rPr>
        <w:t xml:space="preserve"> The cost method</w:t>
      </w:r>
    </w:p>
    <w:tbl>
      <w:tblPr>
        <w:tblStyle w:val="Mkatabulky"/>
        <w:tblW w:w="9133" w:type="dxa"/>
        <w:tblLook w:val="04A0" w:firstRow="1" w:lastRow="0" w:firstColumn="1" w:lastColumn="0" w:noHBand="0" w:noVBand="1"/>
      </w:tblPr>
      <w:tblGrid>
        <w:gridCol w:w="2880"/>
        <w:gridCol w:w="2952"/>
        <w:gridCol w:w="3301"/>
      </w:tblGrid>
      <w:tr w:rsidR="00C93C23" w:rsidRPr="001E0047" w14:paraId="341DD0BF" w14:textId="77777777" w:rsidTr="00AB3B7D">
        <w:trPr>
          <w:trHeight w:val="20"/>
        </w:trPr>
        <w:tc>
          <w:tcPr>
            <w:tcW w:w="2880" w:type="dxa"/>
            <w:shd w:val="clear" w:color="auto" w:fill="E7E6E6" w:themeFill="background2"/>
            <w:vAlign w:val="center"/>
          </w:tcPr>
          <w:p w14:paraId="6E9B0A4B" w14:textId="0B2CE1EB" w:rsidR="00C93C23" w:rsidRPr="001E0047" w:rsidRDefault="00C93C23" w:rsidP="00AB3B7D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Total capacity (CZK)</w:t>
            </w:r>
          </w:p>
        </w:tc>
        <w:tc>
          <w:tcPr>
            <w:tcW w:w="2952" w:type="dxa"/>
            <w:shd w:val="clear" w:color="auto" w:fill="E7E6E6" w:themeFill="background2"/>
            <w:vAlign w:val="center"/>
          </w:tcPr>
          <w:p w14:paraId="4CE6C9B8" w14:textId="02E88B34" w:rsidR="00C93C23" w:rsidRPr="001E0047" w:rsidRDefault="00C93C23" w:rsidP="00AB3B7D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Economic activity total (CZK)</w:t>
            </w:r>
          </w:p>
        </w:tc>
        <w:tc>
          <w:tcPr>
            <w:tcW w:w="3301" w:type="dxa"/>
            <w:shd w:val="clear" w:color="auto" w:fill="E7E6E6" w:themeFill="background2"/>
            <w:vAlign w:val="center"/>
          </w:tcPr>
          <w:p w14:paraId="4CD57607" w14:textId="425C8114" w:rsidR="00C93C23" w:rsidRPr="001E0047" w:rsidRDefault="00C93C23" w:rsidP="00AB3B7D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The proportion of economic use of the total capacity (%)</w:t>
            </w:r>
          </w:p>
        </w:tc>
      </w:tr>
      <w:tr w:rsidR="00C93C23" w:rsidRPr="001E0047" w14:paraId="5995A054" w14:textId="77777777" w:rsidTr="00AB3B7D">
        <w:trPr>
          <w:trHeight w:val="20"/>
        </w:trPr>
        <w:tc>
          <w:tcPr>
            <w:tcW w:w="2880" w:type="dxa"/>
            <w:shd w:val="clear" w:color="auto" w:fill="auto"/>
            <w:vAlign w:val="center"/>
          </w:tcPr>
          <w:p w14:paraId="76DDFFEE" w14:textId="77777777" w:rsidR="00C93C23" w:rsidRPr="001E0047" w:rsidRDefault="00C93C23" w:rsidP="00AB3B7D">
            <w:pPr>
              <w:spacing w:before="60" w:after="60"/>
              <w:rPr>
                <w:rFonts w:cs="Arial"/>
                <w:lang w:val="en-GB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DB057C7" w14:textId="77777777" w:rsidR="00C93C23" w:rsidRPr="001E0047" w:rsidRDefault="00C93C23" w:rsidP="00AB3B7D">
            <w:pPr>
              <w:spacing w:before="60" w:after="6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124531F" w14:textId="77777777" w:rsidR="00C93C23" w:rsidRPr="001E0047" w:rsidRDefault="00C93C23" w:rsidP="00AB3B7D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C93C23" w:rsidRPr="001E0047" w14:paraId="2157AA7F" w14:textId="77777777" w:rsidTr="00AB3B7D">
        <w:trPr>
          <w:trHeight w:val="20"/>
        </w:trPr>
        <w:tc>
          <w:tcPr>
            <w:tcW w:w="2880" w:type="dxa"/>
            <w:shd w:val="clear" w:color="auto" w:fill="E7E6E6" w:themeFill="background2"/>
            <w:vAlign w:val="center"/>
          </w:tcPr>
          <w:p w14:paraId="5C34AF13" w14:textId="77777777" w:rsidR="00C93C23" w:rsidRPr="001E0047" w:rsidRDefault="00C93C23" w:rsidP="00AB3B7D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Description of the used method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14:paraId="6C2D4FB4" w14:textId="77777777" w:rsidR="00C93C23" w:rsidRPr="00362A32" w:rsidRDefault="00C93C23" w:rsidP="00AB3B7D">
            <w:pPr>
              <w:spacing w:before="60" w:after="60"/>
              <w:rPr>
                <w:rFonts w:cs="Arial"/>
                <w:i/>
                <w:lang w:val="en-GB"/>
              </w:rPr>
            </w:pPr>
          </w:p>
        </w:tc>
      </w:tr>
    </w:tbl>
    <w:p w14:paraId="72D9EA5C" w14:textId="3443F845" w:rsidR="00E866C4" w:rsidRPr="001E0047" w:rsidRDefault="003F6C49" w:rsidP="00E7276D">
      <w:pPr>
        <w:spacing w:before="120" w:after="60" w:line="240" w:lineRule="auto"/>
        <w:rPr>
          <w:rFonts w:cs="Arial"/>
          <w:b/>
          <w:lang w:val="en-GB"/>
        </w:rPr>
      </w:pPr>
      <w:sdt>
        <w:sdtPr>
          <w:rPr>
            <w:rFonts w:cs="Arial"/>
            <w:b/>
            <w:lang w:val="en-GB"/>
          </w:rPr>
          <w:id w:val="-9881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56" w:rsidRPr="001E0047">
            <w:rPr>
              <w:rFonts w:ascii="MS Gothic" w:eastAsia="MS Gothic" w:hAnsi="MS Gothic" w:cs="Arial"/>
              <w:b/>
              <w:lang w:val="en-GB" w:bidi="en-US"/>
            </w:rPr>
            <w:t>☐</w:t>
          </w:r>
        </w:sdtContent>
      </w:sdt>
      <w:r w:rsidR="00AC6E8F" w:rsidRPr="001E0047">
        <w:rPr>
          <w:rFonts w:cs="Arial"/>
          <w:b/>
          <w:lang w:val="en-GB" w:bidi="en-US"/>
        </w:rPr>
        <w:t xml:space="preserve"> The </w:t>
      </w:r>
      <w:r w:rsidR="000D7A65">
        <w:rPr>
          <w:rFonts w:cs="Arial"/>
          <w:b/>
          <w:lang w:val="en-GB" w:bidi="en-US"/>
        </w:rPr>
        <w:t>revenue</w:t>
      </w:r>
      <w:r w:rsidR="00AC6E8F" w:rsidRPr="001E0047">
        <w:rPr>
          <w:rFonts w:cs="Arial"/>
          <w:b/>
          <w:lang w:val="en-GB" w:bidi="en-US"/>
        </w:rPr>
        <w:t xml:space="preserve"> method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2868"/>
        <w:gridCol w:w="2939"/>
        <w:gridCol w:w="3286"/>
      </w:tblGrid>
      <w:tr w:rsidR="008D0265" w:rsidRPr="001E0047" w14:paraId="25C9785B" w14:textId="77777777" w:rsidTr="00DD5125">
        <w:trPr>
          <w:trHeight w:val="20"/>
        </w:trPr>
        <w:tc>
          <w:tcPr>
            <w:tcW w:w="2868" w:type="dxa"/>
            <w:shd w:val="clear" w:color="auto" w:fill="E7E6E6" w:themeFill="background2"/>
            <w:vAlign w:val="center"/>
          </w:tcPr>
          <w:p w14:paraId="38B9429D" w14:textId="4DF6E86D" w:rsidR="00E866C4" w:rsidRPr="001E0047" w:rsidRDefault="00E866C4" w:rsidP="003264AF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Total capacity (CZK)</w:t>
            </w:r>
          </w:p>
        </w:tc>
        <w:tc>
          <w:tcPr>
            <w:tcW w:w="2939" w:type="dxa"/>
            <w:shd w:val="clear" w:color="auto" w:fill="E7E6E6" w:themeFill="background2"/>
            <w:vAlign w:val="center"/>
          </w:tcPr>
          <w:p w14:paraId="363D631E" w14:textId="143F7F15" w:rsidR="00E866C4" w:rsidRPr="001E0047" w:rsidRDefault="00E866C4" w:rsidP="003264AF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Economic activity total (CZK)</w:t>
            </w:r>
          </w:p>
        </w:tc>
        <w:tc>
          <w:tcPr>
            <w:tcW w:w="3286" w:type="dxa"/>
            <w:shd w:val="clear" w:color="auto" w:fill="E7E6E6" w:themeFill="background2"/>
            <w:vAlign w:val="center"/>
          </w:tcPr>
          <w:p w14:paraId="4779C6B9" w14:textId="2DED1FD4" w:rsidR="008D0265" w:rsidRPr="001E0047" w:rsidRDefault="000E0AAE" w:rsidP="003264AF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The proportion of economic use of the total capacity (%)</w:t>
            </w:r>
          </w:p>
        </w:tc>
      </w:tr>
      <w:tr w:rsidR="008D0265" w:rsidRPr="001E0047" w14:paraId="5360E6B1" w14:textId="77777777" w:rsidTr="00DD5125">
        <w:trPr>
          <w:trHeight w:val="20"/>
        </w:trPr>
        <w:tc>
          <w:tcPr>
            <w:tcW w:w="2868" w:type="dxa"/>
            <w:shd w:val="clear" w:color="auto" w:fill="auto"/>
            <w:vAlign w:val="center"/>
          </w:tcPr>
          <w:p w14:paraId="3D1B0A09" w14:textId="4B3CA236" w:rsidR="008D0265" w:rsidRPr="001E0047" w:rsidRDefault="008D0265" w:rsidP="003264AF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15CBFFA" w14:textId="5FBAE516" w:rsidR="00CB3675" w:rsidRPr="001E0047" w:rsidRDefault="00CB3675" w:rsidP="003264AF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E3DC950" w14:textId="2C79E73E" w:rsidR="008D0265" w:rsidRPr="001E0047" w:rsidRDefault="000E0AAE" w:rsidP="003264AF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E866C4" w:rsidRPr="001E0047" w14:paraId="3E79C572" w14:textId="77777777" w:rsidTr="00DD5125">
        <w:trPr>
          <w:trHeight w:val="20"/>
        </w:trPr>
        <w:tc>
          <w:tcPr>
            <w:tcW w:w="2868" w:type="dxa"/>
            <w:shd w:val="clear" w:color="auto" w:fill="E7E6E6" w:themeFill="background2"/>
            <w:vAlign w:val="center"/>
          </w:tcPr>
          <w:p w14:paraId="5EF1ADB8" w14:textId="6D22E2CE" w:rsidR="00E866C4" w:rsidRPr="001E0047" w:rsidRDefault="004F3C1A" w:rsidP="003264AF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Description of the used method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095FE250" w14:textId="33B50B94" w:rsidR="00E866C4" w:rsidRPr="00362A32" w:rsidRDefault="00E866C4" w:rsidP="003264AF">
            <w:pPr>
              <w:spacing w:before="60" w:after="60"/>
              <w:rPr>
                <w:rFonts w:cs="Arial"/>
                <w:i/>
                <w:lang w:val="en-GB"/>
              </w:rPr>
            </w:pPr>
          </w:p>
        </w:tc>
      </w:tr>
    </w:tbl>
    <w:p w14:paraId="2B7B15C3" w14:textId="77777777" w:rsidR="00C93C23" w:rsidRPr="001E0047" w:rsidRDefault="003F6C49" w:rsidP="00C93C23">
      <w:pPr>
        <w:spacing w:before="60" w:after="60" w:line="240" w:lineRule="auto"/>
        <w:rPr>
          <w:rFonts w:cs="Arial"/>
          <w:b/>
          <w:lang w:val="en-GB"/>
        </w:rPr>
      </w:pPr>
      <w:sdt>
        <w:sdtPr>
          <w:rPr>
            <w:rFonts w:cs="Arial"/>
            <w:b/>
            <w:lang w:val="en-GB"/>
          </w:rPr>
          <w:id w:val="-99001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23" w:rsidRPr="001E0047">
            <w:rPr>
              <w:rFonts w:ascii="MS Gothic" w:eastAsia="MS Gothic" w:hAnsi="MS Gothic" w:cs="Arial"/>
              <w:b/>
              <w:lang w:val="en-GB" w:bidi="en-US"/>
            </w:rPr>
            <w:t>☐</w:t>
          </w:r>
        </w:sdtContent>
      </w:sdt>
      <w:r w:rsidR="00C93C23" w:rsidRPr="001E0047">
        <w:rPr>
          <w:rFonts w:cs="Arial"/>
          <w:b/>
          <w:lang w:val="en-GB" w:bidi="en-US"/>
        </w:rPr>
        <w:t xml:space="preserve"> The time method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6"/>
        <w:gridCol w:w="2081"/>
        <w:gridCol w:w="1984"/>
        <w:gridCol w:w="2126"/>
      </w:tblGrid>
      <w:tr w:rsidR="003F6C49" w:rsidRPr="001E0047" w14:paraId="4F694C21" w14:textId="116BCEC0" w:rsidTr="0042680E">
        <w:tc>
          <w:tcPr>
            <w:tcW w:w="2876" w:type="dxa"/>
            <w:shd w:val="clear" w:color="auto" w:fill="E7E6E6" w:themeFill="background2"/>
            <w:vAlign w:val="center"/>
          </w:tcPr>
          <w:p w14:paraId="2BFE91AA" w14:textId="4075A562" w:rsidR="00705260" w:rsidRPr="001E0047" w:rsidRDefault="00705260" w:rsidP="00705260">
            <w:pPr>
              <w:pStyle w:val="Odstavecseseznamem"/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Sources</w:t>
            </w:r>
            <w:r w:rsidRPr="001E0047">
              <w:rPr>
                <w:rStyle w:val="Znakapoznpodarou"/>
                <w:rFonts w:cs="Arial"/>
                <w:b/>
                <w:lang w:val="en-GB" w:bidi="en-US"/>
              </w:rPr>
              <w:footnoteReference w:id="4"/>
            </w:r>
          </w:p>
        </w:tc>
        <w:tc>
          <w:tcPr>
            <w:tcW w:w="2081" w:type="dxa"/>
            <w:shd w:val="clear" w:color="auto" w:fill="E7E6E6" w:themeFill="background2"/>
            <w:vAlign w:val="center"/>
          </w:tcPr>
          <w:p w14:paraId="6026E698" w14:textId="1292D1DC" w:rsidR="00705260" w:rsidRPr="001E0047" w:rsidRDefault="00CE49D2" w:rsidP="00705260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Costs – total (CZK)</w:t>
            </w:r>
          </w:p>
        </w:tc>
        <w:tc>
          <w:tcPr>
            <w:tcW w:w="1984" w:type="dxa"/>
            <w:shd w:val="clear" w:color="auto" w:fill="E7E6E6" w:themeFill="background2"/>
          </w:tcPr>
          <w:p w14:paraId="007F80F5" w14:textId="3455D8D3" w:rsidR="00705260" w:rsidRDefault="00CE49D2" w:rsidP="00705260">
            <w:pPr>
              <w:spacing w:before="60" w:after="60"/>
              <w:jc w:val="center"/>
              <w:rPr>
                <w:rFonts w:cs="Arial"/>
                <w:b/>
                <w:lang w:val="en-GB" w:bidi="en-US"/>
              </w:rPr>
            </w:pPr>
            <w:r>
              <w:rPr>
                <w:rFonts w:cs="Arial"/>
                <w:b/>
                <w:lang w:val="en-GB" w:bidi="en-US"/>
              </w:rPr>
              <w:t>Costs – economic activities (CZK)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FE75A9D" w14:textId="48A9C54C" w:rsidR="00705260" w:rsidRDefault="00705260" w:rsidP="00705260">
            <w:pPr>
              <w:spacing w:before="60" w:after="60"/>
              <w:jc w:val="center"/>
              <w:rPr>
                <w:rFonts w:cs="Arial"/>
                <w:b/>
                <w:lang w:val="en-GB" w:bidi="en-US"/>
              </w:rPr>
            </w:pPr>
            <w:r>
              <w:rPr>
                <w:rFonts w:cs="Arial"/>
                <w:b/>
                <w:lang w:val="en-GB" w:bidi="en-US"/>
              </w:rPr>
              <w:t>The proportion</w:t>
            </w:r>
            <w:r w:rsidRPr="001E0047">
              <w:rPr>
                <w:rFonts w:cs="Arial"/>
                <w:b/>
                <w:lang w:val="en-GB" w:bidi="en-US"/>
              </w:rPr>
              <w:t xml:space="preserve"> of economic activities</w:t>
            </w:r>
          </w:p>
        </w:tc>
      </w:tr>
      <w:tr w:rsidR="003F6C49" w:rsidRPr="001E0047" w14:paraId="0D056D92" w14:textId="198C2216" w:rsidTr="0042680E">
        <w:tc>
          <w:tcPr>
            <w:tcW w:w="2876" w:type="dxa"/>
            <w:shd w:val="clear" w:color="auto" w:fill="auto"/>
            <w:vAlign w:val="center"/>
          </w:tcPr>
          <w:p w14:paraId="159A71F2" w14:textId="0734837F" w:rsidR="00705260" w:rsidRPr="001E0047" w:rsidRDefault="00705260" w:rsidP="0070526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47" w:hanging="272"/>
              <w:rPr>
                <w:rFonts w:cs="Arial"/>
                <w:lang w:val="en-GB"/>
              </w:rPr>
            </w:pPr>
            <w:r>
              <w:rPr>
                <w:rFonts w:cs="Arial"/>
                <w:lang w:val="en-GB" w:bidi="en-US"/>
              </w:rPr>
              <w:t>Equipment</w:t>
            </w:r>
            <w:r w:rsidRPr="001E0047">
              <w:rPr>
                <w:rFonts w:cs="Arial"/>
                <w:lang w:val="en-GB" w:bidi="en-US"/>
              </w:rPr>
              <w:t>/</w:t>
            </w:r>
            <w:r>
              <w:rPr>
                <w:rFonts w:cs="Arial"/>
                <w:lang w:val="en-GB" w:bidi="en-US"/>
              </w:rPr>
              <w:t>apparatus</w:t>
            </w:r>
          </w:p>
        </w:tc>
        <w:tc>
          <w:tcPr>
            <w:tcW w:w="2081" w:type="dxa"/>
            <w:vAlign w:val="center"/>
          </w:tcPr>
          <w:p w14:paraId="6112103A" w14:textId="5619D59E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84" w:type="dxa"/>
          </w:tcPr>
          <w:p w14:paraId="5761A2BE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  <w:tc>
          <w:tcPr>
            <w:tcW w:w="2126" w:type="dxa"/>
            <w:vAlign w:val="center"/>
          </w:tcPr>
          <w:p w14:paraId="300472F2" w14:textId="3402C229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3F6C49" w:rsidRPr="001E0047" w14:paraId="55930CA4" w14:textId="35BA764C" w:rsidTr="0042680E">
        <w:tc>
          <w:tcPr>
            <w:tcW w:w="2876" w:type="dxa"/>
            <w:shd w:val="clear" w:color="auto" w:fill="auto"/>
            <w:vAlign w:val="center"/>
          </w:tcPr>
          <w:p w14:paraId="24492E1E" w14:textId="04A54774" w:rsidR="00705260" w:rsidRPr="001E0047" w:rsidRDefault="00705260" w:rsidP="0070526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47" w:hanging="272"/>
              <w:rPr>
                <w:rFonts w:cs="Arial"/>
                <w:lang w:val="en-GB"/>
              </w:rPr>
            </w:pPr>
            <w:r w:rsidRPr="001E0047">
              <w:rPr>
                <w:rFonts w:cs="Arial"/>
                <w:lang w:val="en-GB" w:bidi="en-US"/>
              </w:rPr>
              <w:t>Fixed capital/</w:t>
            </w:r>
            <w:r>
              <w:rPr>
                <w:rFonts w:cs="Arial"/>
                <w:lang w:val="en-GB" w:bidi="en-US"/>
              </w:rPr>
              <w:t>premises</w:t>
            </w:r>
          </w:p>
        </w:tc>
        <w:tc>
          <w:tcPr>
            <w:tcW w:w="2081" w:type="dxa"/>
            <w:vAlign w:val="center"/>
          </w:tcPr>
          <w:p w14:paraId="267AF198" w14:textId="3824E730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84" w:type="dxa"/>
          </w:tcPr>
          <w:p w14:paraId="2D1FC39C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  <w:tc>
          <w:tcPr>
            <w:tcW w:w="2126" w:type="dxa"/>
            <w:vAlign w:val="center"/>
          </w:tcPr>
          <w:p w14:paraId="4D5906EB" w14:textId="68DF78A8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3F6C49" w:rsidRPr="001E0047" w14:paraId="69721F75" w14:textId="6B6B3FE2" w:rsidTr="0042680E">
        <w:tc>
          <w:tcPr>
            <w:tcW w:w="2876" w:type="dxa"/>
            <w:shd w:val="clear" w:color="auto" w:fill="auto"/>
            <w:vAlign w:val="center"/>
          </w:tcPr>
          <w:p w14:paraId="0558C0CE" w14:textId="4457EF4F" w:rsidR="00705260" w:rsidRPr="001E0047" w:rsidRDefault="00705260" w:rsidP="0070526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47" w:hanging="272"/>
              <w:rPr>
                <w:rFonts w:cs="Arial"/>
                <w:lang w:val="en-GB"/>
              </w:rPr>
            </w:pPr>
            <w:r w:rsidRPr="001E0047">
              <w:rPr>
                <w:rFonts w:cs="Arial"/>
                <w:lang w:val="en-GB" w:bidi="en-US"/>
              </w:rPr>
              <w:t>Labour/employees</w:t>
            </w:r>
            <w:r w:rsidRPr="001E0047">
              <w:rPr>
                <w:rStyle w:val="Znakapoznpodarou"/>
                <w:rFonts w:cs="Arial"/>
                <w:lang w:val="en-GB" w:bidi="en-US"/>
              </w:rPr>
              <w:footnoteReference w:id="5"/>
            </w:r>
          </w:p>
        </w:tc>
        <w:tc>
          <w:tcPr>
            <w:tcW w:w="2081" w:type="dxa"/>
            <w:vAlign w:val="center"/>
          </w:tcPr>
          <w:p w14:paraId="38E94E6B" w14:textId="7AC5FFA4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84" w:type="dxa"/>
          </w:tcPr>
          <w:p w14:paraId="32C4832E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  <w:tc>
          <w:tcPr>
            <w:tcW w:w="2126" w:type="dxa"/>
            <w:vAlign w:val="center"/>
          </w:tcPr>
          <w:p w14:paraId="0C7EAB21" w14:textId="6024B619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3F6C49" w:rsidRPr="001E0047" w14:paraId="1042F2D3" w14:textId="7277C55C" w:rsidTr="0042680E">
        <w:tc>
          <w:tcPr>
            <w:tcW w:w="2876" w:type="dxa"/>
            <w:shd w:val="clear" w:color="auto" w:fill="E7E6E6" w:themeFill="background2"/>
            <w:vAlign w:val="center"/>
          </w:tcPr>
          <w:p w14:paraId="5A2DBB5F" w14:textId="60B590DF" w:rsidR="00705260" w:rsidRPr="001E0047" w:rsidRDefault="00705260" w:rsidP="00705260">
            <w:pPr>
              <w:pStyle w:val="Odstavecseseznamem"/>
              <w:spacing w:before="60" w:after="60"/>
              <w:ind w:left="175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TOTAL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77A0C9F" w14:textId="18ED234D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84" w:type="dxa"/>
          </w:tcPr>
          <w:p w14:paraId="0D78546A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  <w:tc>
          <w:tcPr>
            <w:tcW w:w="2126" w:type="dxa"/>
            <w:vAlign w:val="center"/>
          </w:tcPr>
          <w:p w14:paraId="77DB5959" w14:textId="7B6ABA9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705260" w:rsidRPr="001E0047" w14:paraId="0919793E" w14:textId="77777777" w:rsidTr="0042680E">
        <w:tc>
          <w:tcPr>
            <w:tcW w:w="2876" w:type="dxa"/>
            <w:shd w:val="clear" w:color="auto" w:fill="E7E6E6" w:themeFill="background2"/>
            <w:vAlign w:val="center"/>
          </w:tcPr>
          <w:p w14:paraId="647FE8A9" w14:textId="5E7B44EE" w:rsidR="00705260" w:rsidRPr="001E0047" w:rsidRDefault="00705260" w:rsidP="00705260">
            <w:pPr>
              <w:pStyle w:val="Odstavecseseznamem"/>
              <w:spacing w:before="60" w:after="60"/>
              <w:ind w:left="164"/>
              <w:rPr>
                <w:rFonts w:cs="Arial"/>
                <w:b/>
                <w:lang w:val="en-GB" w:bidi="en-US"/>
              </w:rPr>
            </w:pPr>
            <w:r w:rsidRPr="001E0047">
              <w:rPr>
                <w:rFonts w:cs="Arial"/>
                <w:b/>
                <w:lang w:val="en-GB" w:bidi="en-US"/>
              </w:rPr>
              <w:t>Description of the used method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A0D7C6E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  <w:tc>
          <w:tcPr>
            <w:tcW w:w="1984" w:type="dxa"/>
          </w:tcPr>
          <w:p w14:paraId="126B440E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  <w:tc>
          <w:tcPr>
            <w:tcW w:w="2126" w:type="dxa"/>
          </w:tcPr>
          <w:p w14:paraId="381E9A7D" w14:textId="77777777" w:rsidR="00705260" w:rsidRPr="001E0047" w:rsidRDefault="00705260" w:rsidP="00705260">
            <w:pPr>
              <w:spacing w:before="60" w:after="60"/>
              <w:jc w:val="center"/>
              <w:rPr>
                <w:rFonts w:cs="Arial"/>
                <w:lang w:val="en-GB" w:bidi="en-US"/>
              </w:rPr>
            </w:pPr>
          </w:p>
        </w:tc>
      </w:tr>
    </w:tbl>
    <w:p w14:paraId="72AB07D5" w14:textId="0787AD7B" w:rsidR="004F3C1A" w:rsidRPr="001E0047" w:rsidRDefault="003F6C49" w:rsidP="00E7276D">
      <w:pPr>
        <w:spacing w:before="120" w:after="60" w:line="240" w:lineRule="auto"/>
        <w:rPr>
          <w:rFonts w:cs="Arial"/>
          <w:b/>
          <w:szCs w:val="24"/>
          <w:lang w:val="en-GB"/>
        </w:rPr>
      </w:pPr>
      <w:sdt>
        <w:sdtPr>
          <w:rPr>
            <w:rFonts w:cs="Arial"/>
            <w:b/>
            <w:szCs w:val="24"/>
            <w:lang w:val="en-GB"/>
          </w:rPr>
          <w:id w:val="13768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C1A" w:rsidRPr="001E0047">
            <w:rPr>
              <w:rFonts w:ascii="Segoe UI Symbol" w:eastAsia="MS Gothic" w:hAnsi="Segoe UI Symbol" w:cs="Segoe UI Symbol"/>
              <w:b/>
              <w:sz w:val="24"/>
              <w:szCs w:val="24"/>
              <w:lang w:val="en-GB" w:bidi="en-US"/>
            </w:rPr>
            <w:t>☐</w:t>
          </w:r>
        </w:sdtContent>
      </w:sdt>
      <w:r w:rsidR="004F3C1A" w:rsidRPr="001E0047">
        <w:rPr>
          <w:rFonts w:cs="Arial"/>
          <w:b/>
          <w:sz w:val="24"/>
          <w:szCs w:val="24"/>
          <w:lang w:val="en-GB" w:bidi="en-US"/>
        </w:rPr>
        <w:t xml:space="preserve"> Another method</w:t>
      </w:r>
    </w:p>
    <w:tbl>
      <w:tblPr>
        <w:tblStyle w:val="Mkatabulky"/>
        <w:tblW w:w="9119" w:type="dxa"/>
        <w:tblLook w:val="04A0" w:firstRow="1" w:lastRow="0" w:firstColumn="1" w:lastColumn="0" w:noHBand="0" w:noVBand="1"/>
      </w:tblPr>
      <w:tblGrid>
        <w:gridCol w:w="2830"/>
        <w:gridCol w:w="2977"/>
        <w:gridCol w:w="3312"/>
      </w:tblGrid>
      <w:tr w:rsidR="004F3C1A" w:rsidRPr="001E0047" w14:paraId="0D585818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8A7DC73" w14:textId="77777777" w:rsidR="004F3C1A" w:rsidRPr="001E0047" w:rsidRDefault="004F3C1A" w:rsidP="003264AF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Total capacity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AC0F182" w14:textId="1BAB4472" w:rsidR="004F3C1A" w:rsidRPr="001E0047" w:rsidRDefault="004F3C1A" w:rsidP="00362A32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Economic activity total</w:t>
            </w:r>
          </w:p>
        </w:tc>
        <w:tc>
          <w:tcPr>
            <w:tcW w:w="3312" w:type="dxa"/>
            <w:shd w:val="clear" w:color="auto" w:fill="E7E6E6" w:themeFill="background2"/>
            <w:vAlign w:val="center"/>
          </w:tcPr>
          <w:p w14:paraId="334F8970" w14:textId="15C172E9" w:rsidR="004F3C1A" w:rsidRPr="001E0047" w:rsidRDefault="004F3C1A" w:rsidP="003264AF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The proportion of economic use of the total capacity (%)</w:t>
            </w:r>
          </w:p>
        </w:tc>
      </w:tr>
      <w:tr w:rsidR="004F3C1A" w:rsidRPr="001E0047" w14:paraId="262BDDFA" w14:textId="77777777" w:rsidTr="00101A96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14:paraId="2AA52F78" w14:textId="77777777" w:rsidR="004F3C1A" w:rsidRPr="001E0047" w:rsidRDefault="004F3C1A" w:rsidP="003264AF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B31A43" w14:textId="09D4F7BE" w:rsidR="004F3C1A" w:rsidRPr="001E0047" w:rsidRDefault="004F3C1A" w:rsidP="003264AF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36062E52" w14:textId="77777777" w:rsidR="004F3C1A" w:rsidRPr="001E0047" w:rsidRDefault="004F3C1A" w:rsidP="003264AF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1E0047">
              <w:rPr>
                <w:rFonts w:cs="Arial"/>
                <w:lang w:val="en-GB" w:bidi="en-US"/>
              </w:rPr>
              <w:t>%</w:t>
            </w:r>
          </w:p>
        </w:tc>
      </w:tr>
      <w:tr w:rsidR="004F3C1A" w:rsidRPr="001E0047" w14:paraId="020B6F96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BEF7FA8" w14:textId="733EC8BB" w:rsidR="004F3C1A" w:rsidRPr="001E0047" w:rsidRDefault="00935F4D" w:rsidP="003264AF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>Description of the used method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2E0146F2" w14:textId="4A30EE05" w:rsidR="004F3C1A" w:rsidRPr="001E0047" w:rsidRDefault="004F3C1A" w:rsidP="003264AF">
            <w:pPr>
              <w:spacing w:before="60" w:after="60"/>
              <w:rPr>
                <w:rFonts w:cs="Arial"/>
                <w:i/>
                <w:lang w:val="en-GB"/>
              </w:rPr>
            </w:pPr>
          </w:p>
        </w:tc>
      </w:tr>
      <w:tr w:rsidR="00BE5E36" w:rsidRPr="001E0047" w14:paraId="5BD81BA4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9EB64A3" w14:textId="3E072A37" w:rsidR="00BE5E36" w:rsidRPr="001E0047" w:rsidRDefault="00BE5E36" w:rsidP="003264AF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lastRenderedPageBreak/>
              <w:t>Reasons for using this (another) method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1680876D" w14:textId="77777777" w:rsidR="00BE5E36" w:rsidRPr="001E0047" w:rsidRDefault="00BE5E36" w:rsidP="003264AF">
            <w:pPr>
              <w:spacing w:before="60" w:after="60"/>
              <w:rPr>
                <w:rFonts w:cs="Arial"/>
                <w:i/>
                <w:lang w:val="en-GB"/>
              </w:rPr>
            </w:pPr>
          </w:p>
        </w:tc>
      </w:tr>
      <w:tr w:rsidR="00BE48F5" w:rsidRPr="001E0047" w14:paraId="1E3F76A5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0297C2B" w14:textId="4B078386" w:rsidR="00BE48F5" w:rsidRPr="001E0047" w:rsidRDefault="00BE48F5" w:rsidP="003264AF">
            <w:pPr>
              <w:spacing w:before="60" w:after="60"/>
              <w:rPr>
                <w:rFonts w:cs="Arial"/>
                <w:b/>
                <w:lang w:val="en-GB"/>
              </w:rPr>
            </w:pPr>
            <w:r w:rsidRPr="001E0047">
              <w:rPr>
                <w:rFonts w:cs="Arial"/>
                <w:b/>
                <w:lang w:val="en-GB" w:bidi="en-US"/>
              </w:rPr>
              <w:t xml:space="preserve">The date of discussing this </w:t>
            </w:r>
            <w:r w:rsidR="00FE45C2">
              <w:rPr>
                <w:rFonts w:cs="Arial"/>
                <w:b/>
                <w:lang w:val="en-GB" w:bidi="en-US"/>
              </w:rPr>
              <w:t xml:space="preserve">(another) </w:t>
            </w:r>
            <w:r w:rsidRPr="001E0047">
              <w:rPr>
                <w:rFonts w:cs="Arial"/>
                <w:b/>
                <w:lang w:val="en-GB" w:bidi="en-US"/>
              </w:rPr>
              <w:t>method with OP RDE M</w:t>
            </w:r>
            <w:r w:rsidR="004C1ACE">
              <w:rPr>
                <w:rFonts w:cs="Arial"/>
                <w:b/>
                <w:lang w:val="en-GB" w:bidi="en-US"/>
              </w:rPr>
              <w:t xml:space="preserve">anaging </w:t>
            </w:r>
            <w:r w:rsidRPr="001E0047">
              <w:rPr>
                <w:rFonts w:cs="Arial"/>
                <w:b/>
                <w:lang w:val="en-GB" w:bidi="en-US"/>
              </w:rPr>
              <w:t>A</w:t>
            </w:r>
            <w:r w:rsidR="004C1ACE">
              <w:rPr>
                <w:rFonts w:cs="Arial"/>
                <w:b/>
                <w:lang w:val="en-GB" w:bidi="en-US"/>
              </w:rPr>
              <w:t>uthority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228D3538" w14:textId="77777777" w:rsidR="00BE48F5" w:rsidRPr="001E0047" w:rsidRDefault="00BE48F5" w:rsidP="003264AF">
            <w:pPr>
              <w:spacing w:before="60" w:after="60"/>
              <w:rPr>
                <w:rFonts w:cs="Arial"/>
                <w:i/>
                <w:lang w:val="en-GB"/>
              </w:rPr>
            </w:pPr>
          </w:p>
        </w:tc>
      </w:tr>
    </w:tbl>
    <w:p w14:paraId="17A0805A" w14:textId="77777777" w:rsidR="00F8769A" w:rsidRPr="001E0047" w:rsidRDefault="00F8769A" w:rsidP="004E621A">
      <w:pPr>
        <w:pStyle w:val="Odstavecseseznamem"/>
        <w:spacing w:before="120" w:after="60" w:line="240" w:lineRule="auto"/>
        <w:ind w:left="0"/>
        <w:jc w:val="both"/>
        <w:rPr>
          <w:rFonts w:cs="Arial"/>
          <w:b/>
          <w:lang w:val="en-GB"/>
        </w:rPr>
      </w:pPr>
    </w:p>
    <w:p w14:paraId="0516B9B2" w14:textId="77777777" w:rsidR="00830B67" w:rsidRPr="001E0047" w:rsidRDefault="00830B67" w:rsidP="004E621A">
      <w:pPr>
        <w:pStyle w:val="Odstavecseseznamem"/>
        <w:spacing w:before="120" w:after="60" w:line="240" w:lineRule="auto"/>
        <w:ind w:left="0"/>
        <w:jc w:val="both"/>
        <w:rPr>
          <w:rFonts w:cs="Arial"/>
          <w:b/>
          <w:lang w:val="en-GB"/>
        </w:rPr>
      </w:pPr>
    </w:p>
    <w:p w14:paraId="30EBCCF6" w14:textId="64CAF252" w:rsidR="004E621A" w:rsidRPr="001E0047" w:rsidRDefault="00EE350A" w:rsidP="004E621A">
      <w:pPr>
        <w:pStyle w:val="Odstavecseseznamem"/>
        <w:numPr>
          <w:ilvl w:val="0"/>
          <w:numId w:val="12"/>
        </w:numPr>
        <w:spacing w:before="120" w:after="60" w:line="240" w:lineRule="auto"/>
        <w:ind w:left="284" w:hanging="284"/>
        <w:jc w:val="both"/>
        <w:rPr>
          <w:rFonts w:cs="Arial"/>
          <w:b/>
          <w:sz w:val="24"/>
          <w:u w:val="single"/>
          <w:lang w:val="en-GB"/>
        </w:rPr>
      </w:pPr>
      <w:r>
        <w:rPr>
          <w:rFonts w:cs="Arial"/>
          <w:b/>
          <w:sz w:val="24"/>
          <w:szCs w:val="24"/>
          <w:u w:val="single"/>
          <w:lang w:val="en-GB" w:bidi="en-US"/>
        </w:rPr>
        <w:t>Affidavit</w:t>
      </w:r>
    </w:p>
    <w:p w14:paraId="6E1B422E" w14:textId="77777777" w:rsidR="004E621A" w:rsidRPr="001E0047" w:rsidRDefault="004E621A" w:rsidP="004E621A">
      <w:pPr>
        <w:pStyle w:val="Odstavecseseznamem"/>
        <w:spacing w:before="120" w:after="60" w:line="240" w:lineRule="auto"/>
        <w:ind w:left="284"/>
        <w:jc w:val="both"/>
        <w:rPr>
          <w:rFonts w:cs="Arial"/>
          <w:b/>
          <w:lang w:val="en-GB"/>
        </w:rPr>
      </w:pPr>
    </w:p>
    <w:p w14:paraId="57E3A542" w14:textId="38FB574D" w:rsidR="00053D2E" w:rsidRPr="001E0047" w:rsidRDefault="00277C1A" w:rsidP="00830B67">
      <w:pPr>
        <w:pStyle w:val="Odstavecseseznamem"/>
        <w:spacing w:before="120" w:after="60" w:line="240" w:lineRule="auto"/>
        <w:ind w:left="0"/>
        <w:jc w:val="both"/>
        <w:rPr>
          <w:rFonts w:cs="Arial"/>
          <w:b/>
          <w:lang w:val="en-GB"/>
        </w:rPr>
      </w:pPr>
      <w:r w:rsidRPr="001E0047">
        <w:rPr>
          <w:rFonts w:cs="Arial"/>
          <w:b/>
          <w:lang w:val="en-GB" w:bidi="en-US"/>
        </w:rPr>
        <w:t xml:space="preserve">The beneficiary/partner hereby also </w:t>
      </w:r>
      <w:r w:rsidR="00B06BA9">
        <w:rPr>
          <w:rFonts w:cs="Arial"/>
          <w:b/>
          <w:lang w:val="en-GB" w:bidi="en-US"/>
        </w:rPr>
        <w:t>honourably</w:t>
      </w:r>
      <w:r w:rsidR="00B06BA9" w:rsidRPr="001E0047">
        <w:rPr>
          <w:rFonts w:cs="Arial"/>
          <w:b/>
          <w:lang w:val="en-GB" w:bidi="en-US"/>
        </w:rPr>
        <w:t xml:space="preserve"> </w:t>
      </w:r>
      <w:r w:rsidRPr="001E0047">
        <w:rPr>
          <w:rFonts w:cs="Arial"/>
          <w:b/>
          <w:lang w:val="en-GB" w:bidi="en-US"/>
        </w:rPr>
        <w:t>declares that in the report</w:t>
      </w:r>
      <w:r w:rsidR="00B06BA9">
        <w:rPr>
          <w:rFonts w:cs="Arial"/>
          <w:b/>
          <w:lang w:val="en-GB" w:bidi="en-US"/>
        </w:rPr>
        <w:t>ing</w:t>
      </w:r>
      <w:r w:rsidRPr="001E0047">
        <w:rPr>
          <w:rFonts w:cs="Arial"/>
          <w:b/>
          <w:lang w:val="en-GB" w:bidi="en-US"/>
        </w:rPr>
        <w:t xml:space="preserve"> period:</w:t>
      </w:r>
    </w:p>
    <w:p w14:paraId="03BC0F0E" w14:textId="4E0A8CA3" w:rsidR="00053D2E" w:rsidRPr="00C47853" w:rsidRDefault="00053D2E" w:rsidP="008E73B4">
      <w:pPr>
        <w:pStyle w:val="Odstavecseseznamem"/>
        <w:numPr>
          <w:ilvl w:val="0"/>
          <w:numId w:val="9"/>
        </w:numPr>
        <w:spacing w:before="60" w:after="60" w:line="240" w:lineRule="auto"/>
        <w:jc w:val="both"/>
        <w:rPr>
          <w:rFonts w:cs="Arial"/>
          <w:lang w:val="en-GB"/>
        </w:rPr>
      </w:pPr>
      <w:r w:rsidRPr="00C47853">
        <w:rPr>
          <w:rFonts w:cs="Arial"/>
          <w:lang w:val="en-GB" w:bidi="en-US"/>
        </w:rPr>
        <w:t>qualitative criteria set out in point 20 of the Framework for State aid for research and development and innovation (2014/C 198/01)</w:t>
      </w:r>
      <w:r w:rsidR="00C47853" w:rsidRPr="00C47853">
        <w:rPr>
          <w:rFonts w:cs="Arial"/>
          <w:lang w:val="en-GB" w:bidi="en-US"/>
        </w:rPr>
        <w:t>, or in point 207 of the Commission Notice on the notion of State aid as referred to in Article 107(1) of the Treaty on the</w:t>
      </w:r>
      <w:r w:rsidR="00C47853">
        <w:rPr>
          <w:rFonts w:cs="Arial"/>
          <w:lang w:val="en-GB" w:bidi="en-US"/>
        </w:rPr>
        <w:t xml:space="preserve"> </w:t>
      </w:r>
      <w:r w:rsidR="00C47853" w:rsidRPr="00C47853">
        <w:rPr>
          <w:rFonts w:cs="Arial"/>
          <w:lang w:val="en-GB" w:bidi="en-US"/>
        </w:rPr>
        <w:t xml:space="preserve">Functioning of the European Union </w:t>
      </w:r>
      <w:r w:rsidR="00C47853">
        <w:rPr>
          <w:rFonts w:cs="Arial"/>
          <w:lang w:val="en-GB" w:bidi="en-US"/>
        </w:rPr>
        <w:t xml:space="preserve">(2016/C 262/01) </w:t>
      </w:r>
      <w:r w:rsidRPr="00C47853">
        <w:rPr>
          <w:rFonts w:cs="Arial"/>
          <w:lang w:val="en-GB" w:bidi="en-US"/>
        </w:rPr>
        <w:t>have been met:</w:t>
      </w:r>
    </w:p>
    <w:p w14:paraId="05A8669A" w14:textId="46CAE90E" w:rsidR="00B240FA" w:rsidRPr="001E0047" w:rsidRDefault="00053D2E" w:rsidP="003C33FB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cs="Arial"/>
          <w:lang w:val="en-GB"/>
        </w:rPr>
      </w:pPr>
      <w:r w:rsidRPr="001E0047">
        <w:rPr>
          <w:rFonts w:cs="Arial"/>
          <w:lang w:val="en-GB" w:bidi="en-US"/>
        </w:rPr>
        <w:t xml:space="preserve">the economic use </w:t>
      </w:r>
      <w:r w:rsidR="002C0DA5">
        <w:rPr>
          <w:rFonts w:cs="Arial"/>
          <w:lang w:val="en-GB" w:bidi="en-US"/>
        </w:rPr>
        <w:t>remains</w:t>
      </w:r>
      <w:r w:rsidR="002C0DA5" w:rsidRPr="001E0047">
        <w:rPr>
          <w:rFonts w:cs="Arial"/>
          <w:lang w:val="en-GB" w:bidi="en-US"/>
        </w:rPr>
        <w:t xml:space="preserve"> </w:t>
      </w:r>
      <w:r w:rsidR="002C0DA5">
        <w:rPr>
          <w:rFonts w:cs="Arial"/>
          <w:lang w:val="en-GB" w:bidi="en-US"/>
        </w:rPr>
        <w:t>purely</w:t>
      </w:r>
      <w:r w:rsidRPr="001E0047">
        <w:rPr>
          <w:rFonts w:cs="Arial"/>
          <w:lang w:val="en-GB" w:bidi="en-US"/>
        </w:rPr>
        <w:t xml:space="preserve"> ancillary, i.e. the activity:</w:t>
      </w:r>
    </w:p>
    <w:p w14:paraId="09F1A95A" w14:textId="43E1B8A6" w:rsidR="00B240FA" w:rsidRPr="001E0047" w:rsidRDefault="00B240FA" w:rsidP="003C33FB">
      <w:pPr>
        <w:pStyle w:val="Odstavecseseznamem"/>
        <w:numPr>
          <w:ilvl w:val="2"/>
          <w:numId w:val="10"/>
        </w:numPr>
        <w:spacing w:before="60" w:after="60" w:line="240" w:lineRule="auto"/>
        <w:ind w:left="1776"/>
        <w:jc w:val="both"/>
        <w:rPr>
          <w:rFonts w:cs="Arial"/>
          <w:lang w:val="en-GB"/>
        </w:rPr>
      </w:pPr>
      <w:r w:rsidRPr="001E0047">
        <w:rPr>
          <w:rFonts w:cs="Arial"/>
          <w:lang w:val="en-GB" w:bidi="en-US"/>
        </w:rPr>
        <w:t xml:space="preserve">is directly </w:t>
      </w:r>
      <w:r w:rsidR="002C0DA5">
        <w:rPr>
          <w:rFonts w:cs="Arial"/>
          <w:lang w:val="en-GB" w:bidi="en-US"/>
        </w:rPr>
        <w:t>related</w:t>
      </w:r>
      <w:r w:rsidR="002C0DA5" w:rsidRPr="001E0047">
        <w:rPr>
          <w:rFonts w:cs="Arial"/>
          <w:lang w:val="en-GB" w:bidi="en-US"/>
        </w:rPr>
        <w:t xml:space="preserve"> </w:t>
      </w:r>
      <w:r w:rsidRPr="001E0047">
        <w:rPr>
          <w:rFonts w:cs="Arial"/>
          <w:lang w:val="en-GB" w:bidi="en-US"/>
        </w:rPr>
        <w:t xml:space="preserve">to </w:t>
      </w:r>
      <w:r w:rsidR="002C0DA5">
        <w:rPr>
          <w:rFonts w:cs="Arial"/>
          <w:lang w:val="en-GB" w:bidi="en-US"/>
        </w:rPr>
        <w:t xml:space="preserve">and necessary for </w:t>
      </w:r>
      <w:r w:rsidRPr="001E0047">
        <w:rPr>
          <w:rFonts w:cs="Arial"/>
          <w:lang w:val="en-GB" w:bidi="en-US"/>
        </w:rPr>
        <w:t xml:space="preserve">the operation of </w:t>
      </w:r>
      <w:r w:rsidR="002C0DA5">
        <w:rPr>
          <w:rFonts w:cs="Arial"/>
          <w:lang w:val="en-GB" w:bidi="en-US"/>
        </w:rPr>
        <w:t>the</w:t>
      </w:r>
      <w:r w:rsidRPr="001E0047">
        <w:rPr>
          <w:rFonts w:cs="Arial"/>
          <w:lang w:val="en-GB" w:bidi="en-US"/>
        </w:rPr>
        <w:t xml:space="preserve"> research organi</w:t>
      </w:r>
      <w:r w:rsidR="002C0DA5">
        <w:rPr>
          <w:rFonts w:cs="Arial"/>
          <w:lang w:val="en-GB" w:bidi="en-US"/>
        </w:rPr>
        <w:t>s</w:t>
      </w:r>
      <w:r w:rsidRPr="001E0047">
        <w:rPr>
          <w:rFonts w:cs="Arial"/>
          <w:lang w:val="en-GB" w:bidi="en-US"/>
        </w:rPr>
        <w:t>ation or research infrastructure, or</w:t>
      </w:r>
    </w:p>
    <w:p w14:paraId="167D0065" w14:textId="45758D80" w:rsidR="00053D2E" w:rsidRPr="001E0047" w:rsidRDefault="00B240FA" w:rsidP="003C33FB">
      <w:pPr>
        <w:pStyle w:val="Odstavecseseznamem"/>
        <w:numPr>
          <w:ilvl w:val="2"/>
          <w:numId w:val="10"/>
        </w:numPr>
        <w:spacing w:before="60" w:after="60" w:line="240" w:lineRule="auto"/>
        <w:ind w:left="1776"/>
        <w:jc w:val="both"/>
        <w:rPr>
          <w:rFonts w:cs="Arial"/>
          <w:lang w:val="en-GB"/>
        </w:rPr>
      </w:pPr>
      <w:r w:rsidRPr="001E0047">
        <w:rPr>
          <w:rFonts w:cs="Arial"/>
          <w:lang w:val="en-GB" w:bidi="en-US"/>
        </w:rPr>
        <w:t xml:space="preserve">is </w:t>
      </w:r>
      <w:r w:rsidR="002C0DA5">
        <w:rPr>
          <w:rFonts w:cs="Arial"/>
          <w:lang w:val="en-GB" w:bidi="en-US"/>
        </w:rPr>
        <w:t>intrinsically</w:t>
      </w:r>
      <w:r w:rsidRPr="001E0047">
        <w:rPr>
          <w:rFonts w:cs="Arial"/>
          <w:lang w:val="en-GB" w:bidi="en-US"/>
        </w:rPr>
        <w:t xml:space="preserve"> linked to its main non-economic use;</w:t>
      </w:r>
    </w:p>
    <w:p w14:paraId="181CDD7A" w14:textId="6FA991C0" w:rsidR="00151031" w:rsidRPr="001E0047" w:rsidRDefault="002C0DA5" w:rsidP="004E621A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cs="Arial"/>
          <w:lang w:val="en-GB"/>
        </w:rPr>
      </w:pPr>
      <w:r>
        <w:rPr>
          <w:rFonts w:cs="Arial"/>
          <w:lang w:val="en-GB" w:bidi="en-US"/>
        </w:rPr>
        <w:t xml:space="preserve">the economic activities consume </w:t>
      </w:r>
      <w:r w:rsidR="00B240FA" w:rsidRPr="001E0047">
        <w:rPr>
          <w:rFonts w:cs="Arial"/>
          <w:lang w:val="en-GB" w:bidi="en-US"/>
        </w:rPr>
        <w:t xml:space="preserve">exactly the same inputs (such as material, equipment, </w:t>
      </w:r>
      <w:r>
        <w:rPr>
          <w:rFonts w:cs="Arial"/>
          <w:lang w:val="en-GB" w:bidi="en-US"/>
        </w:rPr>
        <w:t>labour</w:t>
      </w:r>
      <w:r w:rsidRPr="001E0047">
        <w:rPr>
          <w:rFonts w:cs="Arial"/>
          <w:lang w:val="en-GB" w:bidi="en-US"/>
        </w:rPr>
        <w:t xml:space="preserve"> </w:t>
      </w:r>
      <w:r w:rsidR="00B240FA" w:rsidRPr="001E0047">
        <w:rPr>
          <w:rFonts w:cs="Arial"/>
          <w:lang w:val="en-GB" w:bidi="en-US"/>
        </w:rPr>
        <w:t xml:space="preserve">and fixed capital) as </w:t>
      </w:r>
      <w:r>
        <w:rPr>
          <w:rFonts w:cs="Arial"/>
          <w:lang w:val="en-GB" w:bidi="en-US"/>
        </w:rPr>
        <w:t>the</w:t>
      </w:r>
      <w:r w:rsidRPr="001E0047">
        <w:rPr>
          <w:rFonts w:cs="Arial"/>
          <w:lang w:val="en-GB" w:bidi="en-US"/>
        </w:rPr>
        <w:t xml:space="preserve"> </w:t>
      </w:r>
      <w:r w:rsidR="00B240FA" w:rsidRPr="001E0047">
        <w:rPr>
          <w:rFonts w:cs="Arial"/>
          <w:lang w:val="en-GB" w:bidi="en-US"/>
        </w:rPr>
        <w:t>non-economic activities.</w:t>
      </w:r>
    </w:p>
    <w:p w14:paraId="64E26F2D" w14:textId="77777777" w:rsidR="00CB3675" w:rsidRPr="001E0047" w:rsidRDefault="00CB3675" w:rsidP="003264AF">
      <w:pPr>
        <w:pStyle w:val="Odstavecseseznamem"/>
        <w:spacing w:before="60" w:after="60" w:line="240" w:lineRule="auto"/>
        <w:ind w:left="1500"/>
        <w:rPr>
          <w:rFonts w:cs="Arial"/>
          <w:lang w:val="en-GB"/>
        </w:rPr>
      </w:pPr>
    </w:p>
    <w:p w14:paraId="0368C30F" w14:textId="77777777" w:rsidR="00F8769A" w:rsidRPr="001E0047" w:rsidRDefault="00F8769A" w:rsidP="003264AF">
      <w:pPr>
        <w:pStyle w:val="Odstavecseseznamem"/>
        <w:spacing w:before="60" w:after="60" w:line="240" w:lineRule="auto"/>
        <w:ind w:left="1500"/>
        <w:rPr>
          <w:rFonts w:cs="Arial"/>
          <w:lang w:val="en-GB"/>
        </w:rPr>
      </w:pPr>
    </w:p>
    <w:p w14:paraId="650FB910" w14:textId="77777777" w:rsidR="00F8769A" w:rsidRPr="001E0047" w:rsidRDefault="00F8769A" w:rsidP="003264AF">
      <w:pPr>
        <w:pStyle w:val="Odstavecseseznamem"/>
        <w:spacing w:before="60" w:after="60" w:line="240" w:lineRule="auto"/>
        <w:ind w:left="1500"/>
        <w:rPr>
          <w:rFonts w:cs="Arial"/>
          <w:lang w:val="en-GB"/>
        </w:rPr>
      </w:pPr>
    </w:p>
    <w:p w14:paraId="273B97DF" w14:textId="77777777" w:rsidR="00F8769A" w:rsidRPr="001E0047" w:rsidRDefault="00F8769A" w:rsidP="003264AF">
      <w:pPr>
        <w:pStyle w:val="Odstavecseseznamem"/>
        <w:spacing w:before="60" w:after="60" w:line="240" w:lineRule="auto"/>
        <w:ind w:left="1500"/>
        <w:rPr>
          <w:rFonts w:cs="Arial"/>
          <w:lang w:val="en-GB"/>
        </w:rPr>
      </w:pPr>
    </w:p>
    <w:p w14:paraId="343DFF8F" w14:textId="77777777" w:rsidR="00F8769A" w:rsidRPr="001E0047" w:rsidRDefault="00F8769A" w:rsidP="003264AF">
      <w:pPr>
        <w:pStyle w:val="Odstavecseseznamem"/>
        <w:spacing w:before="60" w:after="60" w:line="240" w:lineRule="auto"/>
        <w:ind w:left="1500"/>
        <w:rPr>
          <w:rFonts w:cs="Arial"/>
          <w:lang w:val="en-GB"/>
        </w:rPr>
      </w:pPr>
    </w:p>
    <w:p w14:paraId="4981D79B" w14:textId="77777777" w:rsidR="00F8769A" w:rsidRPr="001E0047" w:rsidRDefault="00F8769A" w:rsidP="003264AF">
      <w:pPr>
        <w:pStyle w:val="Odstavecseseznamem"/>
        <w:spacing w:before="60" w:after="60" w:line="240" w:lineRule="auto"/>
        <w:ind w:left="1500"/>
        <w:rPr>
          <w:rFonts w:cs="Arial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89"/>
        <w:gridCol w:w="581"/>
        <w:gridCol w:w="1423"/>
        <w:gridCol w:w="261"/>
        <w:gridCol w:w="1942"/>
        <w:gridCol w:w="2155"/>
      </w:tblGrid>
      <w:tr w:rsidR="00053D2E" w:rsidRPr="001E0047" w14:paraId="5C6F1EC9" w14:textId="77777777" w:rsidTr="00822BD1">
        <w:trPr>
          <w:gridAfter w:val="2"/>
          <w:wAfter w:w="4097" w:type="dxa"/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615A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  <w:r w:rsidRPr="001E0047">
              <w:rPr>
                <w:rFonts w:eastAsia="Symbol" w:cs="Arial"/>
                <w:color w:val="000000"/>
                <w:lang w:val="en-GB" w:bidi="en-US"/>
              </w:rPr>
              <w:t>In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1F9123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C495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  <w:r w:rsidRPr="001E0047">
              <w:rPr>
                <w:rFonts w:eastAsia="Symbol" w:cs="Arial"/>
                <w:color w:val="000000"/>
                <w:lang w:val="en-GB" w:bidi="en-US"/>
              </w:rPr>
              <w:t>on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F54BF1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</w:tc>
      </w:tr>
      <w:tr w:rsidR="00053D2E" w:rsidRPr="001E0047" w14:paraId="0C98F11C" w14:textId="77777777" w:rsidTr="00822BD1">
        <w:trPr>
          <w:trHeight w:val="568"/>
        </w:trPr>
        <w:tc>
          <w:tcPr>
            <w:tcW w:w="4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CF4BD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C9D4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CBBAE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</w:tc>
      </w:tr>
      <w:tr w:rsidR="00053D2E" w:rsidRPr="001E0047" w14:paraId="621300FE" w14:textId="77777777" w:rsidTr="00822BD1">
        <w:trPr>
          <w:trHeight w:val="414"/>
        </w:trPr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66C0D" w14:textId="64B6F775" w:rsidR="00053D2E" w:rsidRPr="001E0047" w:rsidRDefault="00053D2E" w:rsidP="003264AF">
            <w:pPr>
              <w:spacing w:before="60" w:after="60" w:line="240" w:lineRule="auto"/>
              <w:jc w:val="center"/>
              <w:rPr>
                <w:rFonts w:eastAsia="Symbol" w:cs="Arial"/>
                <w:color w:val="000000"/>
                <w:lang w:val="en-GB" w:eastAsia="cs-CZ"/>
              </w:rPr>
            </w:pPr>
            <w:r w:rsidRPr="001E0047">
              <w:rPr>
                <w:rFonts w:eastAsia="Symbol" w:cs="Arial"/>
                <w:color w:val="000000"/>
                <w:lang w:val="en-GB" w:bidi="en-US"/>
              </w:rPr>
              <w:t>first name, surname, position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275C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  <w:p w14:paraId="1A8EB8D6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  <w:p w14:paraId="705596FF" w14:textId="77777777" w:rsidR="00053D2E" w:rsidRPr="001E0047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val="en-GB" w:eastAsia="cs-C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EA9C1" w14:textId="77777777" w:rsidR="00053D2E" w:rsidRPr="001E0047" w:rsidRDefault="00053D2E" w:rsidP="003264AF">
            <w:pPr>
              <w:spacing w:before="60" w:after="60" w:line="240" w:lineRule="auto"/>
              <w:jc w:val="center"/>
              <w:rPr>
                <w:rFonts w:eastAsia="Symbol" w:cs="Arial"/>
                <w:color w:val="000000"/>
                <w:lang w:val="en-GB" w:eastAsia="cs-CZ"/>
              </w:rPr>
            </w:pPr>
            <w:r w:rsidRPr="001E0047">
              <w:rPr>
                <w:rFonts w:eastAsia="Symbol" w:cs="Arial"/>
                <w:color w:val="000000"/>
                <w:lang w:val="en-GB" w:bidi="en-US"/>
              </w:rPr>
              <w:t>Signature</w:t>
            </w:r>
          </w:p>
        </w:tc>
      </w:tr>
    </w:tbl>
    <w:p w14:paraId="0E19ECBD" w14:textId="3C8C4707" w:rsidR="000B163A" w:rsidRPr="001E0047" w:rsidRDefault="000B163A" w:rsidP="00E4442B">
      <w:pPr>
        <w:spacing w:before="60" w:after="60" w:line="240" w:lineRule="auto"/>
        <w:rPr>
          <w:rFonts w:cs="Arial"/>
          <w:lang w:val="en-GB"/>
        </w:rPr>
      </w:pPr>
    </w:p>
    <w:p w14:paraId="6C8DB7AC" w14:textId="77777777" w:rsidR="000B163A" w:rsidRPr="001E0047" w:rsidRDefault="000B163A">
      <w:pPr>
        <w:rPr>
          <w:rFonts w:cs="Arial"/>
          <w:lang w:val="en-GB"/>
        </w:rPr>
      </w:pPr>
      <w:r w:rsidRPr="001E0047">
        <w:rPr>
          <w:rFonts w:cs="Arial"/>
          <w:lang w:val="en-GB" w:bidi="en-US"/>
        </w:rPr>
        <w:br w:type="page"/>
      </w:r>
    </w:p>
    <w:p w14:paraId="13CC436A" w14:textId="77777777" w:rsidR="000B163A" w:rsidRPr="001E0047" w:rsidRDefault="000B163A" w:rsidP="00830B67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b/>
          <w:sz w:val="24"/>
          <w:u w:val="single"/>
          <w:lang w:val="en-GB"/>
        </w:rPr>
      </w:pPr>
      <w:r w:rsidRPr="001E0047">
        <w:rPr>
          <w:rFonts w:cs="Arial"/>
          <w:b/>
          <w:sz w:val="24"/>
          <w:szCs w:val="24"/>
          <w:u w:val="single"/>
          <w:lang w:val="en-GB" w:bidi="en-US"/>
        </w:rPr>
        <w:lastRenderedPageBreak/>
        <w:t>Other required information</w:t>
      </w:r>
    </w:p>
    <w:p w14:paraId="1E42EBC9" w14:textId="57495907" w:rsidR="000B163A" w:rsidRPr="001E0047" w:rsidRDefault="000B163A" w:rsidP="000B163A">
      <w:pPr>
        <w:spacing w:after="120" w:line="240" w:lineRule="auto"/>
        <w:ind w:left="284" w:hanging="284"/>
        <w:jc w:val="both"/>
        <w:rPr>
          <w:rFonts w:cstheme="majorHAnsi"/>
          <w:lang w:val="en-GB"/>
        </w:rPr>
      </w:pPr>
      <w:r w:rsidRPr="001E0047">
        <w:rPr>
          <w:rFonts w:cstheme="majorHAnsi"/>
          <w:b/>
          <w:lang w:val="en-GB" w:bidi="en-US"/>
        </w:rPr>
        <w:t xml:space="preserve">A) The beneficiary/partner using one of the accounting methods </w:t>
      </w:r>
      <w:r w:rsidRPr="001E0047">
        <w:rPr>
          <w:rFonts w:cstheme="majorHAnsi"/>
          <w:lang w:val="en-GB" w:bidi="en-US"/>
        </w:rPr>
        <w:t xml:space="preserve">(cost, </w:t>
      </w:r>
      <w:r w:rsidR="00C86FE2">
        <w:rPr>
          <w:rFonts w:cstheme="majorHAnsi"/>
          <w:lang w:val="en-GB" w:bidi="en-US"/>
        </w:rPr>
        <w:t>revenue</w:t>
      </w:r>
      <w:r w:rsidRPr="001E0047">
        <w:rPr>
          <w:rFonts w:cstheme="majorHAnsi"/>
          <w:lang w:val="en-GB" w:bidi="en-US"/>
        </w:rPr>
        <w:t>, or another) also submits to the OP RDE M</w:t>
      </w:r>
      <w:r w:rsidR="00C86FE2">
        <w:rPr>
          <w:rFonts w:cstheme="majorHAnsi"/>
          <w:lang w:val="en-GB" w:bidi="en-US"/>
        </w:rPr>
        <w:t xml:space="preserve">anaging </w:t>
      </w:r>
      <w:r w:rsidRPr="001E0047">
        <w:rPr>
          <w:rFonts w:cstheme="majorHAnsi"/>
          <w:lang w:val="en-GB" w:bidi="en-US"/>
        </w:rPr>
        <w:t>A</w:t>
      </w:r>
      <w:r w:rsidR="00C86FE2">
        <w:rPr>
          <w:rFonts w:cstheme="majorHAnsi"/>
          <w:lang w:val="en-GB" w:bidi="en-US"/>
        </w:rPr>
        <w:t>uthority</w:t>
      </w:r>
      <w:r w:rsidRPr="001E0047">
        <w:rPr>
          <w:rFonts w:cstheme="majorHAnsi"/>
          <w:lang w:val="en-GB" w:bidi="en-US"/>
        </w:rPr>
        <w:t xml:space="preserve"> the following supporting documents attached to the Overview of the Economic Use of the Supported Capacities:</w:t>
      </w:r>
    </w:p>
    <w:p w14:paraId="085C534B" w14:textId="2D5AF52D" w:rsidR="000B163A" w:rsidRPr="001E0047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 xml:space="preserve">Information about the relevant entity and an overview of </w:t>
      </w:r>
      <w:r w:rsidR="00C6526F">
        <w:rPr>
          <w:rFonts w:cstheme="majorHAnsi"/>
          <w:lang w:val="en-GB" w:bidi="en-US"/>
        </w:rPr>
        <w:t>profit/</w:t>
      </w:r>
      <w:r w:rsidRPr="001E0047">
        <w:rPr>
          <w:rFonts w:cstheme="majorHAnsi"/>
          <w:lang w:val="en-GB" w:bidi="en-US"/>
        </w:rPr>
        <w:t>cost centres (organizational units) that constitute the relevant entity – the document contains information on the definition of the relevant entity and will make it possible to verify that submitted information only applies to the relevant entity.</w:t>
      </w:r>
    </w:p>
    <w:p w14:paraId="58F40C7B" w14:textId="77777777" w:rsidR="000B163A" w:rsidRPr="001E0047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 xml:space="preserve">Information on the distinction between economic activities (sources) and non-economic activities – the document contains the identification of all activities (sources, contracts) of the relevant entity and their division into economic and non-economic ones. </w:t>
      </w:r>
    </w:p>
    <w:p w14:paraId="258FB948" w14:textId="4354F02F" w:rsidR="000B163A" w:rsidRPr="001E0047" w:rsidRDefault="000B163A" w:rsidP="001E004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>An overview of cost/income (adjusted) – the document contains information on adjusted cost</w:t>
      </w:r>
      <w:r w:rsidR="00065FB4">
        <w:rPr>
          <w:rFonts w:cstheme="majorHAnsi"/>
          <w:lang w:val="en-GB" w:bidi="en-US"/>
        </w:rPr>
        <w:t>s</w:t>
      </w:r>
      <w:r w:rsidRPr="001E0047">
        <w:rPr>
          <w:rFonts w:cstheme="majorHAnsi"/>
          <w:lang w:val="en-GB" w:bidi="en-US"/>
        </w:rPr>
        <w:t xml:space="preserve"> and/or </w:t>
      </w:r>
      <w:r w:rsidR="00065FB4">
        <w:rPr>
          <w:rFonts w:cstheme="majorHAnsi"/>
          <w:lang w:val="en-GB" w:bidi="en-US"/>
        </w:rPr>
        <w:t>revenues</w:t>
      </w:r>
      <w:r w:rsidR="00065FB4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of the relevant entity, divided into economic and non-economic one, regardless of their classification under accounting regulations (an adjustment means a </w:t>
      </w:r>
      <w:r w:rsidR="00065FB4">
        <w:rPr>
          <w:rFonts w:cstheme="majorHAnsi"/>
          <w:lang w:val="en-GB" w:bidi="en-US"/>
        </w:rPr>
        <w:t>reduction of the total</w:t>
      </w:r>
      <w:r w:rsidRPr="001E0047">
        <w:rPr>
          <w:rFonts w:cstheme="majorHAnsi"/>
          <w:lang w:val="en-GB" w:bidi="en-US"/>
        </w:rPr>
        <w:t xml:space="preserve"> non-investment cost</w:t>
      </w:r>
      <w:r w:rsidR="00065FB4">
        <w:rPr>
          <w:rFonts w:cstheme="majorHAnsi"/>
          <w:lang w:val="en-GB" w:bidi="en-US"/>
        </w:rPr>
        <w:t>s</w:t>
      </w:r>
      <w:r w:rsidRPr="001E0047">
        <w:rPr>
          <w:rFonts w:cstheme="majorHAnsi"/>
          <w:lang w:val="en-GB" w:bidi="en-US"/>
        </w:rPr>
        <w:t xml:space="preserve"> (see Chapter 3.1 Methodology of Reporting Economic Activities in Terms of State Aid under OP RDE (hereinafter the Methodology) and footnote No. </w:t>
      </w:r>
      <w:r w:rsidR="00065FB4">
        <w:rPr>
          <w:rFonts w:cstheme="majorHAnsi"/>
          <w:lang w:val="en-GB" w:bidi="en-US"/>
        </w:rPr>
        <w:t>19</w:t>
      </w:r>
      <w:r w:rsidRPr="001E0047">
        <w:rPr>
          <w:rFonts w:cstheme="majorHAnsi"/>
          <w:lang w:val="en-GB" w:bidi="en-US"/>
        </w:rPr>
        <w:t xml:space="preserve">), or non-investment </w:t>
      </w:r>
      <w:r w:rsidR="00065FB4">
        <w:rPr>
          <w:rFonts w:cstheme="majorHAnsi"/>
          <w:lang w:val="en-GB" w:bidi="en-US"/>
        </w:rPr>
        <w:t>revenues</w:t>
      </w:r>
      <w:r w:rsidR="00065FB4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>(see Chapter 3.2 and footnote No. 2</w:t>
      </w:r>
      <w:r w:rsidR="00065FB4">
        <w:rPr>
          <w:rFonts w:cstheme="majorHAnsi"/>
          <w:lang w:val="en-GB" w:bidi="en-US"/>
        </w:rPr>
        <w:t>1</w:t>
      </w:r>
      <w:r w:rsidRPr="001E0047">
        <w:rPr>
          <w:rFonts w:cstheme="majorHAnsi"/>
          <w:lang w:val="en-GB" w:bidi="en-US"/>
        </w:rPr>
        <w:t xml:space="preserve"> of the Methodology). The overview of cost</w:t>
      </w:r>
      <w:r w:rsidR="00065FB4">
        <w:rPr>
          <w:rFonts w:cstheme="majorHAnsi"/>
          <w:lang w:val="en-GB" w:bidi="en-US"/>
        </w:rPr>
        <w:t>s</w:t>
      </w:r>
      <w:r w:rsidRPr="001E0047">
        <w:rPr>
          <w:rFonts w:cstheme="majorHAnsi"/>
          <w:lang w:val="en-GB" w:bidi="en-US"/>
        </w:rPr>
        <w:t>/</w:t>
      </w:r>
      <w:r w:rsidR="00065FB4">
        <w:rPr>
          <w:rFonts w:cstheme="majorHAnsi"/>
          <w:lang w:val="en-GB" w:bidi="en-US"/>
        </w:rPr>
        <w:t>revenues</w:t>
      </w:r>
      <w:r w:rsidR="00065FB4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>should enable the identification of activities based on the source/contract.</w:t>
      </w:r>
    </w:p>
    <w:p w14:paraId="15C3B688" w14:textId="257CF728" w:rsidR="000B163A" w:rsidRPr="001E0047" w:rsidRDefault="00860F97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>An overview of cost</w:t>
      </w:r>
      <w:r w:rsidR="00C6526F">
        <w:rPr>
          <w:rFonts w:cstheme="majorHAnsi"/>
          <w:lang w:val="en-GB" w:bidi="en-US"/>
        </w:rPr>
        <w:t>s</w:t>
      </w:r>
      <w:r w:rsidRPr="001E0047">
        <w:rPr>
          <w:rFonts w:cstheme="majorHAnsi"/>
          <w:lang w:val="en-GB" w:bidi="en-US"/>
        </w:rPr>
        <w:t>/</w:t>
      </w:r>
      <w:r w:rsidR="00C6526F">
        <w:rPr>
          <w:rFonts w:cstheme="majorHAnsi"/>
          <w:lang w:val="en-GB" w:bidi="en-US"/>
        </w:rPr>
        <w:t>revenues</w:t>
      </w:r>
      <w:r w:rsidR="00C6526F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>(not adjusted) – the document contains information on all cost</w:t>
      </w:r>
      <w:r w:rsidR="00C6526F">
        <w:rPr>
          <w:rFonts w:cstheme="majorHAnsi"/>
          <w:lang w:val="en-GB" w:bidi="en-US"/>
        </w:rPr>
        <w:t>s</w:t>
      </w:r>
      <w:r w:rsidRPr="001E0047">
        <w:rPr>
          <w:rFonts w:cstheme="majorHAnsi"/>
          <w:lang w:val="en-GB" w:bidi="en-US"/>
        </w:rPr>
        <w:t xml:space="preserve"> and/or </w:t>
      </w:r>
      <w:r w:rsidR="00C6526F">
        <w:rPr>
          <w:rFonts w:cstheme="majorHAnsi"/>
          <w:lang w:val="en-GB" w:bidi="en-US"/>
        </w:rPr>
        <w:t>revenues</w:t>
      </w:r>
      <w:r w:rsidR="00C6526F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of the relevant entity, classified as economic and non-economic regardless of their classification under accounting regulations (i.e. the overview will also include information on costs and/or </w:t>
      </w:r>
      <w:r w:rsidR="00C6526F">
        <w:rPr>
          <w:rFonts w:cstheme="majorHAnsi"/>
          <w:lang w:val="en-GB" w:bidi="en-US"/>
        </w:rPr>
        <w:t>revenues</w:t>
      </w:r>
      <w:r w:rsidR="00C6526F" w:rsidRPr="001E0047">
        <w:rPr>
          <w:rFonts w:cstheme="majorHAnsi"/>
          <w:lang w:val="en-GB" w:bidi="en-US"/>
        </w:rPr>
        <w:t xml:space="preserve"> </w:t>
      </w:r>
      <w:r w:rsidR="00C6526F">
        <w:rPr>
          <w:rFonts w:cstheme="majorHAnsi"/>
          <w:lang w:val="en-GB" w:bidi="en-US"/>
        </w:rPr>
        <w:t xml:space="preserve">not </w:t>
      </w:r>
      <w:r w:rsidRPr="001E0047">
        <w:rPr>
          <w:rFonts w:cstheme="majorHAnsi"/>
          <w:lang w:val="en-GB" w:bidi="en-US"/>
        </w:rPr>
        <w:t>included into the capacity calculation – such as the depreciation of assets acquired from a grant).</w:t>
      </w:r>
    </w:p>
    <w:p w14:paraId="103E3BCD" w14:textId="77777777" w:rsidR="000B163A" w:rsidRPr="001E0047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 xml:space="preserve">Internal regulations or other supporting documents of the beneficiary/partner that regulate the issue of economic and non-economic activities in relation to the relevant entity. If the information is publicly available, a reference/link to such information is sufficient. </w:t>
      </w:r>
    </w:p>
    <w:p w14:paraId="3E88EA62" w14:textId="46228E0D" w:rsidR="000B163A" w:rsidRDefault="000B163A" w:rsidP="001B752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>Reasons for using “another method” and its appropriate application and sufficiency for the verification that conditions under point 20 of the Framework have been met. The M</w:t>
      </w:r>
      <w:r w:rsidR="006B4308">
        <w:rPr>
          <w:rFonts w:cstheme="majorHAnsi"/>
          <w:lang w:val="en-GB" w:bidi="en-US"/>
        </w:rPr>
        <w:t xml:space="preserve">anaging </w:t>
      </w:r>
      <w:r w:rsidRPr="001E0047">
        <w:rPr>
          <w:rFonts w:cstheme="majorHAnsi"/>
          <w:lang w:val="en-GB" w:bidi="en-US"/>
        </w:rPr>
        <w:t>A</w:t>
      </w:r>
      <w:r w:rsidR="006B4308">
        <w:rPr>
          <w:rFonts w:cstheme="majorHAnsi"/>
          <w:lang w:val="en-GB" w:bidi="en-US"/>
        </w:rPr>
        <w:t>uthority</w:t>
      </w:r>
      <w:r w:rsidRPr="001E0047">
        <w:rPr>
          <w:rFonts w:cstheme="majorHAnsi"/>
          <w:lang w:val="en-GB" w:bidi="en-US"/>
        </w:rPr>
        <w:t xml:space="preserve"> points out that in compliance with the requirements of the Audit Authority of the Ministry of Finance, a method other than those specified in Chapters 3.1 through 3.3 of the Methodology is considered “another method”. </w:t>
      </w:r>
      <w:r w:rsidRPr="001E0047">
        <w:rPr>
          <w:rFonts w:cstheme="majorHAnsi"/>
          <w:b/>
          <w:lang w:val="en-GB" w:bidi="en-US"/>
        </w:rPr>
        <w:t>Such “another method” must be described</w:t>
      </w:r>
      <w:r w:rsidRPr="001E0047">
        <w:rPr>
          <w:rFonts w:cstheme="majorHAnsi"/>
          <w:lang w:val="en-GB" w:bidi="en-US"/>
        </w:rPr>
        <w:t xml:space="preserve"> in detail together with reasons for its use and </w:t>
      </w:r>
      <w:r w:rsidRPr="001E0047">
        <w:rPr>
          <w:rFonts w:cstheme="majorHAnsi"/>
          <w:b/>
          <w:lang w:val="en-GB" w:bidi="en-US"/>
        </w:rPr>
        <w:t>discuss</w:t>
      </w:r>
      <w:r w:rsidR="006B4308">
        <w:rPr>
          <w:rFonts w:cstheme="majorHAnsi"/>
          <w:b/>
          <w:lang w:val="en-GB" w:bidi="en-US"/>
        </w:rPr>
        <w:t>ed</w:t>
      </w:r>
      <w:r w:rsidRPr="001E0047">
        <w:rPr>
          <w:rFonts w:cstheme="majorHAnsi"/>
          <w:b/>
          <w:lang w:val="en-GB" w:bidi="en-US"/>
        </w:rPr>
        <w:t xml:space="preserve"> in advance with the OP RDE M</w:t>
      </w:r>
      <w:r w:rsidR="006B4308">
        <w:rPr>
          <w:rFonts w:cstheme="majorHAnsi"/>
          <w:b/>
          <w:lang w:val="en-GB" w:bidi="en-US"/>
        </w:rPr>
        <w:t xml:space="preserve">anaging </w:t>
      </w:r>
      <w:r w:rsidRPr="001E0047">
        <w:rPr>
          <w:rFonts w:cstheme="majorHAnsi"/>
          <w:b/>
          <w:lang w:val="en-GB" w:bidi="en-US"/>
        </w:rPr>
        <w:t>A</w:t>
      </w:r>
      <w:r w:rsidR="006B4308">
        <w:rPr>
          <w:rFonts w:cstheme="majorHAnsi"/>
          <w:b/>
          <w:lang w:val="en-GB" w:bidi="en-US"/>
        </w:rPr>
        <w:t>uthority</w:t>
      </w:r>
      <w:r w:rsidRPr="001E0047">
        <w:rPr>
          <w:rFonts w:cstheme="majorHAnsi"/>
          <w:lang w:val="en-GB" w:bidi="en-US"/>
        </w:rPr>
        <w:t xml:space="preserve"> for the purpose of verifying its sufficiency to prove criteria of point 20 of the Framework (see Chapter 3.4 of the Methodology).</w:t>
      </w:r>
    </w:p>
    <w:p w14:paraId="4389F1C6" w14:textId="77777777" w:rsidR="00362A32" w:rsidRPr="001E0047" w:rsidRDefault="00362A32" w:rsidP="00362A32">
      <w:pPr>
        <w:pStyle w:val="Odstavecseseznamem"/>
        <w:spacing w:after="120" w:line="240" w:lineRule="auto"/>
        <w:jc w:val="both"/>
        <w:rPr>
          <w:rFonts w:cstheme="majorHAnsi"/>
          <w:lang w:val="en-GB"/>
        </w:rPr>
      </w:pPr>
    </w:p>
    <w:p w14:paraId="2594934F" w14:textId="1F46CF48" w:rsidR="000B163A" w:rsidRPr="001E0047" w:rsidRDefault="00826626" w:rsidP="000B163A">
      <w:pPr>
        <w:spacing w:after="120" w:line="240" w:lineRule="auto"/>
        <w:ind w:left="284" w:hanging="284"/>
        <w:jc w:val="both"/>
        <w:rPr>
          <w:rFonts w:cstheme="majorHAnsi"/>
          <w:lang w:val="en-GB"/>
        </w:rPr>
      </w:pPr>
      <w:r>
        <w:rPr>
          <w:rFonts w:cstheme="majorHAnsi"/>
          <w:b/>
          <w:lang w:val="en-GB" w:bidi="en-US"/>
        </w:rPr>
        <w:t>B</w:t>
      </w:r>
      <w:r w:rsidR="000B163A" w:rsidRPr="001E0047">
        <w:rPr>
          <w:rFonts w:cstheme="majorHAnsi"/>
          <w:b/>
          <w:lang w:val="en-GB" w:bidi="en-US"/>
        </w:rPr>
        <w:t>) The beneficiary/partner using one of the non-accounting methods (</w:t>
      </w:r>
      <w:r>
        <w:rPr>
          <w:rFonts w:cstheme="majorHAnsi"/>
          <w:b/>
          <w:lang w:val="en-GB" w:bidi="en-US"/>
        </w:rPr>
        <w:t xml:space="preserve">the </w:t>
      </w:r>
      <w:r w:rsidR="000B163A" w:rsidRPr="001E0047">
        <w:rPr>
          <w:rFonts w:cstheme="majorHAnsi"/>
          <w:b/>
          <w:lang w:val="en-GB" w:bidi="en-US"/>
        </w:rPr>
        <w:t xml:space="preserve">time, or </w:t>
      </w:r>
      <w:proofErr w:type="gramStart"/>
      <w:r>
        <w:rPr>
          <w:rFonts w:cstheme="majorHAnsi"/>
          <w:b/>
          <w:lang w:val="en-GB" w:bidi="en-US"/>
        </w:rPr>
        <w:t>the</w:t>
      </w:r>
      <w:r w:rsidR="003F6C49">
        <w:rPr>
          <w:rFonts w:cstheme="majorHAnsi"/>
          <w:b/>
          <w:lang w:val="en-GB" w:bidi="en-US"/>
        </w:rPr>
        <w:t xml:space="preserve"> </w:t>
      </w:r>
      <w:bookmarkStart w:id="0" w:name="_GoBack"/>
      <w:bookmarkEnd w:id="0"/>
      <w:r w:rsidR="000B163A" w:rsidRPr="001E0047">
        <w:rPr>
          <w:rFonts w:cstheme="majorHAnsi"/>
          <w:b/>
          <w:lang w:val="en-GB" w:bidi="en-US"/>
        </w:rPr>
        <w:t>another</w:t>
      </w:r>
      <w:proofErr w:type="gramEnd"/>
      <w:r>
        <w:rPr>
          <w:rFonts w:cstheme="majorHAnsi"/>
          <w:b/>
          <w:lang w:val="en-GB" w:bidi="en-US"/>
        </w:rPr>
        <w:t xml:space="preserve"> method</w:t>
      </w:r>
      <w:r w:rsidR="000B163A" w:rsidRPr="001E0047">
        <w:rPr>
          <w:rFonts w:cstheme="majorHAnsi"/>
          <w:b/>
          <w:lang w:val="en-GB" w:bidi="en-US"/>
        </w:rPr>
        <w:t>)</w:t>
      </w:r>
      <w:r w:rsidR="000B163A" w:rsidRPr="001E0047">
        <w:rPr>
          <w:rFonts w:cstheme="majorHAnsi"/>
          <w:lang w:val="en-GB" w:bidi="en-US"/>
        </w:rPr>
        <w:t xml:space="preserve"> also submits to the OP RDE M</w:t>
      </w:r>
      <w:r w:rsidR="00E02D24">
        <w:rPr>
          <w:rFonts w:cstheme="majorHAnsi"/>
          <w:lang w:val="en-GB" w:bidi="en-US"/>
        </w:rPr>
        <w:t xml:space="preserve">anaging </w:t>
      </w:r>
      <w:r w:rsidR="000B163A" w:rsidRPr="001E0047">
        <w:rPr>
          <w:rFonts w:cstheme="majorHAnsi"/>
          <w:lang w:val="en-GB" w:bidi="en-US"/>
        </w:rPr>
        <w:t>A</w:t>
      </w:r>
      <w:r w:rsidR="00E02D24">
        <w:rPr>
          <w:rFonts w:cstheme="majorHAnsi"/>
          <w:lang w:val="en-GB" w:bidi="en-US"/>
        </w:rPr>
        <w:t>uthority</w:t>
      </w:r>
      <w:r w:rsidR="000B163A" w:rsidRPr="001E0047">
        <w:rPr>
          <w:rFonts w:cstheme="majorHAnsi"/>
          <w:lang w:val="en-GB" w:bidi="en-US"/>
        </w:rPr>
        <w:t xml:space="preserve"> the following supporting documents attached to the Overview of the Economic Use of the Supported Capacities:</w:t>
      </w:r>
    </w:p>
    <w:p w14:paraId="4FE41225" w14:textId="77777777" w:rsidR="000B163A" w:rsidRPr="001E0047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>Information on the distinction between economic activities and non-economic activities (sources/contracts) – the document contains the identification of all activities (sources, contracts) of the relevant entity and their division into economic and non-economic ones.</w:t>
      </w:r>
    </w:p>
    <w:p w14:paraId="7B98E41D" w14:textId="5B6A7F87" w:rsidR="000B163A" w:rsidRPr="001E0047" w:rsidRDefault="000B163A" w:rsidP="006A02D2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 xml:space="preserve">The calculation of the total capacity and of the </w:t>
      </w:r>
      <w:r w:rsidR="00E02D24">
        <w:rPr>
          <w:rFonts w:cstheme="majorHAnsi"/>
          <w:lang w:val="en-GB" w:bidi="en-US"/>
        </w:rPr>
        <w:t>proportion</w:t>
      </w:r>
      <w:r w:rsidR="00E02D24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of economic activities – the document contains a calculation of the total capacity and calculation of the </w:t>
      </w:r>
      <w:r w:rsidR="006524EF">
        <w:rPr>
          <w:rFonts w:cstheme="majorHAnsi"/>
          <w:lang w:val="en-GB" w:bidi="en-US"/>
        </w:rPr>
        <w:t>proportion</w:t>
      </w:r>
      <w:r w:rsidR="006524EF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>of economic activities in the total capacity of the relevant entity, pursuant to Chapter 3.3, or</w:t>
      </w:r>
      <w:r w:rsidR="001E0047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3.4 the Methodology of </w:t>
      </w:r>
      <w:r w:rsidR="006524EF">
        <w:rPr>
          <w:rFonts w:cstheme="majorHAnsi"/>
          <w:lang w:val="en-GB" w:bidi="en-US"/>
        </w:rPr>
        <w:t xml:space="preserve">Reporting </w:t>
      </w:r>
      <w:r w:rsidRPr="001E0047">
        <w:rPr>
          <w:rFonts w:cstheme="majorHAnsi"/>
          <w:lang w:val="en-GB" w:bidi="en-US"/>
        </w:rPr>
        <w:t>Economic Activit</w:t>
      </w:r>
      <w:r w:rsidR="00362A32">
        <w:rPr>
          <w:rFonts w:cstheme="majorHAnsi"/>
          <w:lang w:val="en-GB" w:bidi="en-US"/>
        </w:rPr>
        <w:t>ies</w:t>
      </w:r>
      <w:r w:rsidRPr="001E0047">
        <w:rPr>
          <w:rFonts w:cstheme="majorHAnsi"/>
          <w:lang w:val="en-GB" w:bidi="en-US"/>
        </w:rPr>
        <w:t xml:space="preserve"> </w:t>
      </w:r>
      <w:r w:rsidR="006524EF">
        <w:rPr>
          <w:rFonts w:cstheme="majorHAnsi"/>
          <w:lang w:val="en-GB" w:bidi="en-US"/>
        </w:rPr>
        <w:t>in Terms of State Aid</w:t>
      </w:r>
      <w:r w:rsidR="006524EF" w:rsidRPr="001E0047">
        <w:rPr>
          <w:rFonts w:cstheme="majorHAnsi"/>
          <w:lang w:val="en-GB" w:bidi="en-US"/>
        </w:rPr>
        <w:t xml:space="preserve"> </w:t>
      </w:r>
      <w:r w:rsidR="006524EF">
        <w:rPr>
          <w:rFonts w:cstheme="majorHAnsi"/>
          <w:lang w:val="en-GB" w:bidi="en-US"/>
        </w:rPr>
        <w:t>under</w:t>
      </w:r>
      <w:r w:rsidRPr="001E0047">
        <w:rPr>
          <w:rFonts w:cstheme="majorHAnsi"/>
          <w:lang w:val="en-GB" w:bidi="en-US"/>
        </w:rPr>
        <w:t xml:space="preserve"> OP RDE (hereinafter the Methodology)</w:t>
      </w:r>
      <w:r w:rsidR="006524EF">
        <w:rPr>
          <w:rFonts w:cstheme="majorHAnsi"/>
          <w:lang w:val="en-GB" w:bidi="en-US"/>
        </w:rPr>
        <w:t>.</w:t>
      </w:r>
    </w:p>
    <w:p w14:paraId="33742219" w14:textId="254C3629" w:rsidR="000B163A" w:rsidRPr="001E0047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 xml:space="preserve">The </w:t>
      </w:r>
      <w:r w:rsidR="00283693">
        <w:rPr>
          <w:rFonts w:cstheme="majorHAnsi"/>
          <w:lang w:val="en-GB" w:bidi="en-US"/>
        </w:rPr>
        <w:t>list</w:t>
      </w:r>
      <w:r w:rsidR="00283693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of all inputs included in the total capacity of the relevant entity – the document contains a list of all inputs, such as </w:t>
      </w:r>
      <w:r w:rsidR="00283693">
        <w:rPr>
          <w:rFonts w:cstheme="majorHAnsi"/>
          <w:lang w:val="en-GB" w:bidi="en-US"/>
        </w:rPr>
        <w:t>equipment</w:t>
      </w:r>
      <w:r w:rsidRPr="001E0047">
        <w:rPr>
          <w:rFonts w:cstheme="majorHAnsi"/>
          <w:lang w:val="en-GB" w:bidi="en-US"/>
        </w:rPr>
        <w:t xml:space="preserve">, </w:t>
      </w:r>
      <w:r w:rsidR="00283693">
        <w:rPr>
          <w:rFonts w:cstheme="majorHAnsi"/>
          <w:lang w:val="en-GB" w:bidi="en-US"/>
        </w:rPr>
        <w:t>premises</w:t>
      </w:r>
      <w:r w:rsidR="00283693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and </w:t>
      </w:r>
      <w:r w:rsidR="00283693">
        <w:rPr>
          <w:rFonts w:cstheme="majorHAnsi"/>
          <w:lang w:val="en-GB" w:bidi="en-US"/>
        </w:rPr>
        <w:t>workers</w:t>
      </w:r>
      <w:r w:rsidR="00283693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that are included into the overall capacity of the relevant entity (unless the information is already included in the </w:t>
      </w:r>
      <w:r w:rsidR="00283693">
        <w:rPr>
          <w:rFonts w:cstheme="majorHAnsi"/>
          <w:lang w:val="en-GB" w:bidi="en-US"/>
        </w:rPr>
        <w:t>c</w:t>
      </w:r>
      <w:r w:rsidRPr="001E0047">
        <w:rPr>
          <w:rFonts w:cstheme="majorHAnsi"/>
          <w:lang w:val="en-GB" w:bidi="en-US"/>
        </w:rPr>
        <w:t xml:space="preserve">alculation of the </w:t>
      </w:r>
      <w:r w:rsidR="00283693">
        <w:rPr>
          <w:rFonts w:cstheme="majorHAnsi"/>
          <w:lang w:val="en-GB" w:bidi="en-US"/>
        </w:rPr>
        <w:t>t</w:t>
      </w:r>
      <w:r w:rsidRPr="001E0047">
        <w:rPr>
          <w:rFonts w:cstheme="majorHAnsi"/>
          <w:lang w:val="en-GB" w:bidi="en-US"/>
        </w:rPr>
        <w:t xml:space="preserve">otal </w:t>
      </w:r>
      <w:r w:rsidR="00283693">
        <w:rPr>
          <w:rFonts w:cstheme="majorHAnsi"/>
          <w:lang w:val="en-GB" w:bidi="en-US"/>
        </w:rPr>
        <w:t>c</w:t>
      </w:r>
      <w:r w:rsidRPr="001E0047">
        <w:rPr>
          <w:rFonts w:cstheme="majorHAnsi"/>
          <w:lang w:val="en-GB" w:bidi="en-US"/>
        </w:rPr>
        <w:t xml:space="preserve">apacity and of the </w:t>
      </w:r>
      <w:r w:rsidR="00283693">
        <w:rPr>
          <w:rFonts w:cstheme="majorHAnsi"/>
          <w:lang w:val="en-GB" w:bidi="en-US"/>
        </w:rPr>
        <w:t>proportion</w:t>
      </w:r>
      <w:r w:rsidR="00283693" w:rsidRPr="001E0047">
        <w:rPr>
          <w:rFonts w:cstheme="majorHAnsi"/>
          <w:lang w:val="en-GB" w:bidi="en-US"/>
        </w:rPr>
        <w:t xml:space="preserve"> </w:t>
      </w:r>
      <w:r w:rsidRPr="001E0047">
        <w:rPr>
          <w:rFonts w:cstheme="majorHAnsi"/>
          <w:lang w:val="en-GB" w:bidi="en-US"/>
        </w:rPr>
        <w:t xml:space="preserve">of </w:t>
      </w:r>
      <w:r w:rsidR="00283693">
        <w:rPr>
          <w:rFonts w:cstheme="majorHAnsi"/>
          <w:lang w:val="en-GB" w:bidi="en-US"/>
        </w:rPr>
        <w:t>e</w:t>
      </w:r>
      <w:r w:rsidRPr="001E0047">
        <w:rPr>
          <w:rFonts w:cstheme="majorHAnsi"/>
          <w:lang w:val="en-GB" w:bidi="en-US"/>
        </w:rPr>
        <w:t xml:space="preserve">conomic </w:t>
      </w:r>
      <w:r w:rsidR="00283693">
        <w:rPr>
          <w:rFonts w:cstheme="majorHAnsi"/>
          <w:lang w:val="en-GB" w:bidi="en-US"/>
        </w:rPr>
        <w:t>a</w:t>
      </w:r>
      <w:r w:rsidRPr="001E0047">
        <w:rPr>
          <w:rFonts w:cstheme="majorHAnsi"/>
          <w:lang w:val="en-GB" w:bidi="en-US"/>
        </w:rPr>
        <w:t xml:space="preserve">ctivities under </w:t>
      </w:r>
      <w:r w:rsidR="00826626">
        <w:rPr>
          <w:rFonts w:cstheme="majorHAnsi"/>
          <w:lang w:val="en-GB" w:bidi="en-US"/>
        </w:rPr>
        <w:t xml:space="preserve">paragraph </w:t>
      </w:r>
      <w:r w:rsidRPr="001E0047">
        <w:rPr>
          <w:rFonts w:cstheme="majorHAnsi"/>
          <w:lang w:val="en-GB" w:bidi="en-US"/>
        </w:rPr>
        <w:t>2).</w:t>
      </w:r>
    </w:p>
    <w:p w14:paraId="094CF2C6" w14:textId="78422DF7" w:rsidR="000B163A" w:rsidRPr="001E0047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lastRenderedPageBreak/>
        <w:t>Internal regulations or other supporting documents of the beneficiary/partner that regulate the issue of economic and non-economic activities. If the infor</w:t>
      </w:r>
      <w:r w:rsidR="00362A32">
        <w:rPr>
          <w:rFonts w:cstheme="majorHAnsi"/>
          <w:lang w:val="en-GB" w:bidi="en-US"/>
        </w:rPr>
        <w:t>mation is publicly available, a </w:t>
      </w:r>
      <w:r w:rsidRPr="001E0047">
        <w:rPr>
          <w:rFonts w:cstheme="majorHAnsi"/>
          <w:lang w:val="en-GB" w:bidi="en-US"/>
        </w:rPr>
        <w:t xml:space="preserve">reference/link to such information is sufficient. </w:t>
      </w:r>
    </w:p>
    <w:p w14:paraId="680A59AA" w14:textId="77C68474" w:rsidR="000B163A" w:rsidRPr="001E0047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  <w:lang w:val="en-GB"/>
        </w:rPr>
      </w:pPr>
      <w:r w:rsidRPr="001E0047">
        <w:rPr>
          <w:rFonts w:cstheme="majorHAnsi"/>
          <w:lang w:val="en-GB" w:bidi="en-US"/>
        </w:rPr>
        <w:t>Reasons for using “another method” and its appropriate application and sufficiency for the verification that conditions under point 20 of the Framework have been met. The M</w:t>
      </w:r>
      <w:r w:rsidR="00146C01">
        <w:rPr>
          <w:rFonts w:cstheme="majorHAnsi"/>
          <w:lang w:val="en-GB" w:bidi="en-US"/>
        </w:rPr>
        <w:t xml:space="preserve">anaging </w:t>
      </w:r>
      <w:r w:rsidRPr="001E0047">
        <w:rPr>
          <w:rFonts w:cstheme="majorHAnsi"/>
          <w:lang w:val="en-GB" w:bidi="en-US"/>
        </w:rPr>
        <w:t>A</w:t>
      </w:r>
      <w:r w:rsidR="00146C01">
        <w:rPr>
          <w:rFonts w:cstheme="majorHAnsi"/>
          <w:lang w:val="en-GB" w:bidi="en-US"/>
        </w:rPr>
        <w:t>uthority</w:t>
      </w:r>
      <w:r w:rsidRPr="001E0047">
        <w:rPr>
          <w:rFonts w:cstheme="majorHAnsi"/>
          <w:lang w:val="en-GB" w:bidi="en-US"/>
        </w:rPr>
        <w:t xml:space="preserve"> points out that in compliance with the requirements of the Audit Authority of the Ministry of Finance, a method other than those specified in Chapters 3.1 through 3.3 of the Methodology is considered “another method”. </w:t>
      </w:r>
      <w:r w:rsidRPr="001E0047">
        <w:rPr>
          <w:rFonts w:cstheme="majorHAnsi"/>
          <w:b/>
          <w:lang w:val="en-GB" w:bidi="en-US"/>
        </w:rPr>
        <w:t>Such “another method” must be described</w:t>
      </w:r>
      <w:r w:rsidRPr="001E0047">
        <w:rPr>
          <w:rFonts w:cstheme="majorHAnsi"/>
          <w:lang w:val="en-GB" w:bidi="en-US"/>
        </w:rPr>
        <w:t xml:space="preserve"> in detail together with reasons for its use and </w:t>
      </w:r>
      <w:r w:rsidRPr="001E0047">
        <w:rPr>
          <w:rFonts w:cstheme="majorHAnsi"/>
          <w:b/>
          <w:lang w:val="en-GB" w:bidi="en-US"/>
        </w:rPr>
        <w:t>discuss</w:t>
      </w:r>
      <w:r w:rsidR="00146C01">
        <w:rPr>
          <w:rFonts w:cstheme="majorHAnsi"/>
          <w:b/>
          <w:lang w:val="en-GB" w:bidi="en-US"/>
        </w:rPr>
        <w:t>ed</w:t>
      </w:r>
      <w:r w:rsidRPr="001E0047">
        <w:rPr>
          <w:rFonts w:cstheme="majorHAnsi"/>
          <w:b/>
          <w:lang w:val="en-GB" w:bidi="en-US"/>
        </w:rPr>
        <w:t xml:space="preserve"> in advance with the OP RDE M</w:t>
      </w:r>
      <w:r w:rsidR="00146C01">
        <w:rPr>
          <w:rFonts w:cstheme="majorHAnsi"/>
          <w:b/>
          <w:lang w:val="en-GB" w:bidi="en-US"/>
        </w:rPr>
        <w:t xml:space="preserve">anaging </w:t>
      </w:r>
      <w:r w:rsidRPr="001E0047">
        <w:rPr>
          <w:rFonts w:cstheme="majorHAnsi"/>
          <w:b/>
          <w:lang w:val="en-GB" w:bidi="en-US"/>
        </w:rPr>
        <w:t>A</w:t>
      </w:r>
      <w:r w:rsidR="00146C01">
        <w:rPr>
          <w:rFonts w:cstheme="majorHAnsi"/>
          <w:b/>
          <w:lang w:val="en-GB" w:bidi="en-US"/>
        </w:rPr>
        <w:t>uthority</w:t>
      </w:r>
      <w:r w:rsidRPr="001E0047">
        <w:rPr>
          <w:rFonts w:cstheme="majorHAnsi"/>
          <w:lang w:val="en-GB" w:bidi="en-US"/>
        </w:rPr>
        <w:t xml:space="preserve"> for the purpose of verifying its sufficiency to prove criteria of point 20 of the Framework (see Chapter 3.4 of the Methodology).</w:t>
      </w:r>
    </w:p>
    <w:p w14:paraId="1A04931C" w14:textId="77777777" w:rsidR="00151031" w:rsidRPr="001E0047" w:rsidRDefault="00151031" w:rsidP="00E4442B">
      <w:pPr>
        <w:spacing w:before="60" w:after="60" w:line="240" w:lineRule="auto"/>
        <w:rPr>
          <w:rFonts w:cs="Arial"/>
          <w:lang w:val="en-GB"/>
        </w:rPr>
      </w:pPr>
    </w:p>
    <w:sectPr w:rsidR="00151031" w:rsidRPr="001E0047" w:rsidSect="00E4442B">
      <w:footerReference w:type="default" r:id="rId12"/>
      <w:headerReference w:type="first" r:id="rId13"/>
      <w:footerReference w:type="first" r:id="rId14"/>
      <w:pgSz w:w="11906" w:h="16838"/>
      <w:pgMar w:top="851" w:right="1274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6E58" w14:textId="77777777" w:rsidR="00D80BAD" w:rsidRDefault="00D80BAD" w:rsidP="000923B1">
      <w:pPr>
        <w:spacing w:after="0" w:line="240" w:lineRule="auto"/>
      </w:pPr>
      <w:r>
        <w:separator/>
      </w:r>
    </w:p>
  </w:endnote>
  <w:endnote w:type="continuationSeparator" w:id="0">
    <w:p w14:paraId="0DF9B4D9" w14:textId="77777777" w:rsidR="00D80BAD" w:rsidRDefault="00D80BAD" w:rsidP="000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800E" w14:textId="505633D4" w:rsidR="00FB2688" w:rsidRDefault="00FB2688" w:rsidP="00FB2688">
    <w:pPr>
      <w:pStyle w:val="Zpat"/>
      <w:jc w:val="center"/>
    </w:pPr>
    <w:r w:rsidRPr="00FB268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70C36" wp14:editId="023065DD">
              <wp:simplePos x="0" y="0"/>
              <wp:positionH relativeFrom="column">
                <wp:posOffset>2745225</wp:posOffset>
              </wp:positionH>
              <wp:positionV relativeFrom="paragraph">
                <wp:posOffset>0</wp:posOffset>
              </wp:positionV>
              <wp:extent cx="508958" cy="189781"/>
              <wp:effectExtent l="0" t="0" r="5715" b="1270"/>
              <wp:wrapNone/>
              <wp:docPr id="121" name="Textové po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958" cy="189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EE202" w14:textId="3824A079" w:rsidR="00FB2688" w:rsidRDefault="00FB2688" w:rsidP="00FB2688"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fldChar w:fldCharType="begin"/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instrText xml:space="preserve"> PAGE </w:instrText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fldChar w:fldCharType="separate"/>
                          </w:r>
                          <w:r w:rsidR="00362A32">
                            <w:rPr>
                              <w:rFonts w:ascii="Arial" w:eastAsia="Arial" w:hAnsi="Arial" w:cs="Arial"/>
                              <w:b/>
                              <w:noProof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t>5</w:t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fldChar w:fldCharType="end"/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t xml:space="preserve"> / </w:t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fldChar w:fldCharType="begin"/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instrText xml:space="preserve"> NUMPAGES \*Arabic </w:instrText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fldChar w:fldCharType="separate"/>
                          </w:r>
                          <w:r w:rsidR="00362A32">
                            <w:rPr>
                              <w:rFonts w:ascii="Arial" w:eastAsia="Arial" w:hAnsi="Arial" w:cs="Arial"/>
                              <w:b/>
                              <w:noProof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t>5</w:t>
                          </w:r>
                          <w:r w:rsidRPr="00CB7C90"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  <w:szCs w:val="14"/>
                              <w:lang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70C36" id="_x0000_t202" coordsize="21600,21600" o:spt="202" path="m,l,21600r21600,l21600,xe">
              <v:stroke joinstyle="miter"/>
              <v:path gradientshapeok="t" o:connecttype="rect"/>
            </v:shapetype>
            <v:shape id="Textové pole 121" o:spid="_x0000_s1026" type="#_x0000_t202" style="position:absolute;left:0;text-align:left;margin-left:216.15pt;margin-top:0;width:40.1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" fillcolor="white [3201]" stroked="f" strokeweight=".5pt">
              <v:textbox>
                <w:txbxContent>
                  <w:p w14:paraId="7CEEE202" w14:textId="3824A079" w:rsidR="00FB2688" w:rsidRDefault="00FB2688" w:rsidP="00FB2688"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fldChar w:fldCharType="begin"/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instrText xml:space="preserve"> PAGE </w:instrText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fldChar w:fldCharType="separate"/>
                    </w:r>
                    <w:r w:rsidR="00362A32">
                      <w:rPr>
                        <w:rFonts w:ascii="Arial" w:eastAsia="Arial" w:hAnsi="Arial" w:cs="Arial"/>
                        <w:b/>
                        <w:noProof/>
                        <w:color w:val="7F7F7F"/>
                        <w:sz w:val="14"/>
                        <w:szCs w:val="14"/>
                        <w:lang w:bidi="en-US"/>
                      </w:rPr>
                      <w:t>5</w:t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fldChar w:fldCharType="end"/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t xml:space="preserve"> / </w:t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fldChar w:fldCharType="begin"/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instrText xml:space="preserve"> NUMPAGES \*Arabic </w:instrText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fldChar w:fldCharType="separate"/>
                    </w:r>
                    <w:r w:rsidR="00362A32">
                      <w:rPr>
                        <w:rFonts w:ascii="Arial" w:eastAsia="Arial" w:hAnsi="Arial" w:cs="Arial"/>
                        <w:b/>
                        <w:noProof/>
                        <w:color w:val="7F7F7F"/>
                        <w:sz w:val="14"/>
                        <w:szCs w:val="14"/>
                        <w:lang w:bidi="en-US"/>
                      </w:rPr>
                      <w:t>5</w:t>
                    </w:r>
                    <w:r w:rsidRPr="00CB7C90">
                      <w:rPr>
                        <w:rFonts w:ascii="Arial" w:eastAsia="Arial" w:hAnsi="Arial" w:cs="Arial"/>
                        <w:b/>
                        <w:color w:val="7F7F7F"/>
                        <w:sz w:val="14"/>
                        <w:szCs w:val="14"/>
                        <w:lang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8CC7B78" wp14:editId="160F293B">
          <wp:extent cx="4644000" cy="1029600"/>
          <wp:effectExtent l="0" t="0" r="4445" b="37465"/>
          <wp:docPr id="9" name="Obrázek 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F7B4" w14:textId="0E3CD128" w:rsidR="0094583E" w:rsidRDefault="0094583E" w:rsidP="0094583E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4E30B483" wp14:editId="6CD49610">
          <wp:extent cx="4644000" cy="1029600"/>
          <wp:effectExtent l="0" t="0" r="4445" b="37465"/>
          <wp:docPr id="10" name="Obrázek 10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021C" w14:textId="77777777" w:rsidR="00D80BAD" w:rsidRDefault="00D80BAD" w:rsidP="000923B1">
      <w:pPr>
        <w:spacing w:after="0" w:line="240" w:lineRule="auto"/>
      </w:pPr>
      <w:r>
        <w:separator/>
      </w:r>
    </w:p>
  </w:footnote>
  <w:footnote w:type="continuationSeparator" w:id="0">
    <w:p w14:paraId="233FDDB3" w14:textId="77777777" w:rsidR="00D80BAD" w:rsidRDefault="00D80BAD" w:rsidP="000923B1">
      <w:pPr>
        <w:spacing w:after="0" w:line="240" w:lineRule="auto"/>
      </w:pPr>
      <w:r>
        <w:continuationSeparator/>
      </w:r>
    </w:p>
  </w:footnote>
  <w:footnote w:id="1">
    <w:p w14:paraId="4A34C4AA" w14:textId="0DA26410" w:rsidR="000A0EE4" w:rsidRDefault="000A0EE4">
      <w:pPr>
        <w:pStyle w:val="Textpoznpodarou"/>
      </w:pPr>
      <w:r>
        <w:rPr>
          <w:rStyle w:val="Znakapoznpodarou"/>
          <w:lang w:bidi="en-US"/>
        </w:rPr>
        <w:footnoteRef/>
      </w:r>
      <w:r>
        <w:rPr>
          <w:lang w:bidi="en-US"/>
        </w:rPr>
        <w:t xml:space="preserve"> </w:t>
      </w:r>
      <w:proofErr w:type="gramStart"/>
      <w:r w:rsidRPr="00D5585F">
        <w:rPr>
          <w:rFonts w:cs="Arial"/>
          <w:sz w:val="18"/>
          <w:szCs w:val="18"/>
          <w:lang w:bidi="en-US"/>
        </w:rPr>
        <w:t>Take into account</w:t>
      </w:r>
      <w:proofErr w:type="gramEnd"/>
      <w:r w:rsidRPr="00D5585F">
        <w:rPr>
          <w:rFonts w:cs="Arial"/>
          <w:sz w:val="18"/>
          <w:szCs w:val="18"/>
          <w:lang w:bidi="en-US"/>
        </w:rPr>
        <w:t xml:space="preserve"> only partners with a financial contribution </w:t>
      </w:r>
      <w:r w:rsidR="00F0335E">
        <w:rPr>
          <w:rFonts w:cs="Arial"/>
          <w:sz w:val="18"/>
          <w:szCs w:val="18"/>
          <w:lang w:bidi="en-US"/>
        </w:rPr>
        <w:t xml:space="preserve">supported </w:t>
      </w:r>
      <w:r w:rsidRPr="00D5585F">
        <w:rPr>
          <w:rFonts w:cs="Arial"/>
          <w:sz w:val="18"/>
          <w:szCs w:val="18"/>
          <w:lang w:bidi="en-US"/>
        </w:rPr>
        <w:t>outside</w:t>
      </w:r>
      <w:r w:rsidR="00F0335E">
        <w:rPr>
          <w:rFonts w:cs="Arial"/>
          <w:sz w:val="18"/>
          <w:szCs w:val="18"/>
          <w:lang w:bidi="en-US"/>
        </w:rPr>
        <w:t xml:space="preserve"> of</w:t>
      </w:r>
      <w:r w:rsidRPr="00D5585F">
        <w:rPr>
          <w:rFonts w:cs="Arial"/>
          <w:sz w:val="18"/>
          <w:szCs w:val="18"/>
          <w:lang w:bidi="en-US"/>
        </w:rPr>
        <w:t xml:space="preserve"> state aid </w:t>
      </w:r>
      <w:r w:rsidR="00F0335E">
        <w:rPr>
          <w:rFonts w:cs="Arial"/>
          <w:sz w:val="18"/>
          <w:szCs w:val="18"/>
          <w:lang w:bidi="en-US"/>
        </w:rPr>
        <w:t>regime</w:t>
      </w:r>
      <w:r w:rsidRPr="00D5585F">
        <w:rPr>
          <w:rFonts w:cs="Arial"/>
          <w:sz w:val="18"/>
          <w:szCs w:val="18"/>
          <w:lang w:bidi="en-US"/>
        </w:rPr>
        <w:t>.</w:t>
      </w:r>
      <w:r>
        <w:rPr>
          <w:lang w:bidi="en-US"/>
        </w:rPr>
        <w:t xml:space="preserve"> </w:t>
      </w:r>
    </w:p>
  </w:footnote>
  <w:footnote w:id="2">
    <w:p w14:paraId="4E3933CE" w14:textId="61062868" w:rsidR="000A0EE4" w:rsidRDefault="000A0EE4" w:rsidP="00A622B1">
      <w:pPr>
        <w:pStyle w:val="Textpoznpodarou"/>
      </w:pPr>
      <w:r>
        <w:rPr>
          <w:rStyle w:val="Znakapoznpodarou"/>
          <w:lang w:bidi="en-US"/>
        </w:rPr>
        <w:footnoteRef/>
      </w:r>
      <w:r>
        <w:rPr>
          <w:lang w:bidi="en-US"/>
        </w:rPr>
        <w:t xml:space="preserve"> </w:t>
      </w:r>
      <w:proofErr w:type="gramStart"/>
      <w:r w:rsidRPr="005F0D64">
        <w:rPr>
          <w:rFonts w:cs="Arial"/>
          <w:sz w:val="18"/>
          <w:szCs w:val="18"/>
          <w:lang w:bidi="en-US"/>
        </w:rPr>
        <w:t>Take into account</w:t>
      </w:r>
      <w:proofErr w:type="gramEnd"/>
      <w:r w:rsidRPr="005F0D64">
        <w:rPr>
          <w:rFonts w:cs="Arial"/>
          <w:sz w:val="18"/>
          <w:szCs w:val="18"/>
          <w:lang w:bidi="en-US"/>
        </w:rPr>
        <w:t xml:space="preserve"> only partners with a financial contribution </w:t>
      </w:r>
      <w:r w:rsidR="00F0335E">
        <w:rPr>
          <w:rFonts w:cs="Arial"/>
          <w:sz w:val="18"/>
          <w:szCs w:val="18"/>
          <w:lang w:bidi="en-US"/>
        </w:rPr>
        <w:t xml:space="preserve">supported </w:t>
      </w:r>
      <w:r w:rsidRPr="005F0D64">
        <w:rPr>
          <w:rFonts w:cs="Arial"/>
          <w:sz w:val="18"/>
          <w:szCs w:val="18"/>
          <w:lang w:bidi="en-US"/>
        </w:rPr>
        <w:t xml:space="preserve">outside </w:t>
      </w:r>
      <w:r w:rsidR="00F0335E">
        <w:rPr>
          <w:rFonts w:cs="Arial"/>
          <w:sz w:val="18"/>
          <w:szCs w:val="18"/>
          <w:lang w:bidi="en-US"/>
        </w:rPr>
        <w:t>of</w:t>
      </w:r>
      <w:r w:rsidR="00F0335E" w:rsidRPr="005F0D64">
        <w:rPr>
          <w:rFonts w:cs="Arial"/>
          <w:sz w:val="18"/>
          <w:szCs w:val="18"/>
          <w:lang w:bidi="en-US"/>
        </w:rPr>
        <w:t xml:space="preserve"> </w:t>
      </w:r>
      <w:r w:rsidRPr="005F0D64">
        <w:rPr>
          <w:rFonts w:cs="Arial"/>
          <w:sz w:val="18"/>
          <w:szCs w:val="18"/>
          <w:lang w:bidi="en-US"/>
        </w:rPr>
        <w:t xml:space="preserve">state aid </w:t>
      </w:r>
      <w:r w:rsidR="00F0335E">
        <w:rPr>
          <w:rFonts w:cs="Arial"/>
          <w:sz w:val="18"/>
          <w:szCs w:val="18"/>
          <w:lang w:bidi="en-US"/>
        </w:rPr>
        <w:t>regime</w:t>
      </w:r>
      <w:r w:rsidRPr="005F0D64">
        <w:rPr>
          <w:rFonts w:cs="Arial"/>
          <w:sz w:val="18"/>
          <w:szCs w:val="18"/>
          <w:lang w:bidi="en-US"/>
        </w:rPr>
        <w:t>.</w:t>
      </w:r>
      <w:r>
        <w:rPr>
          <w:lang w:bidi="en-US"/>
        </w:rPr>
        <w:t xml:space="preserve"> </w:t>
      </w:r>
    </w:p>
  </w:footnote>
  <w:footnote w:id="3">
    <w:p w14:paraId="699FD201" w14:textId="444911C5" w:rsidR="00381E43" w:rsidRPr="00174270" w:rsidRDefault="00381E43" w:rsidP="00381E43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  <w:lang w:bidi="en-US"/>
        </w:rPr>
        <w:footnoteRef/>
      </w:r>
      <w:r w:rsidRPr="00174270">
        <w:rPr>
          <w:rFonts w:cs="Arial"/>
          <w:sz w:val="18"/>
          <w:szCs w:val="18"/>
          <w:lang w:bidi="en-US"/>
        </w:rPr>
        <w:t xml:space="preserve"> For a larger description, a separate annex can be attached to the Overview with a reference to the </w:t>
      </w:r>
      <w:r w:rsidR="00F0335E">
        <w:rPr>
          <w:rFonts w:cs="Arial"/>
          <w:sz w:val="18"/>
          <w:szCs w:val="18"/>
          <w:lang w:bidi="en-US"/>
        </w:rPr>
        <w:t>A</w:t>
      </w:r>
      <w:r w:rsidRPr="00174270">
        <w:rPr>
          <w:rFonts w:cs="Arial"/>
          <w:sz w:val="18"/>
          <w:szCs w:val="18"/>
          <w:lang w:bidi="en-US"/>
        </w:rPr>
        <w:t>nnex.</w:t>
      </w:r>
    </w:p>
  </w:footnote>
  <w:footnote w:id="4">
    <w:p w14:paraId="50D60A07" w14:textId="423B934D" w:rsidR="00705260" w:rsidRPr="00174270" w:rsidRDefault="00705260" w:rsidP="00C93C23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  <w:lang w:bidi="en-US"/>
        </w:rPr>
        <w:footnoteRef/>
      </w:r>
      <w:r w:rsidRPr="00174270">
        <w:rPr>
          <w:rFonts w:cs="Arial"/>
          <w:sz w:val="18"/>
          <w:szCs w:val="18"/>
          <w:lang w:bidi="en-US"/>
        </w:rPr>
        <w:t xml:space="preserve"> Choose only sources applicable to the relevant entity and fill in the </w:t>
      </w:r>
      <w:r>
        <w:rPr>
          <w:rFonts w:cs="Arial"/>
          <w:sz w:val="18"/>
          <w:szCs w:val="18"/>
          <w:lang w:bidi="en-US"/>
        </w:rPr>
        <w:t>proportion</w:t>
      </w:r>
      <w:r w:rsidRPr="00174270">
        <w:rPr>
          <w:rFonts w:cs="Arial"/>
          <w:sz w:val="18"/>
          <w:szCs w:val="18"/>
          <w:lang w:bidi="en-US"/>
        </w:rPr>
        <w:t xml:space="preserve"> of economic use in its total capacity.</w:t>
      </w:r>
    </w:p>
  </w:footnote>
  <w:footnote w:id="5">
    <w:p w14:paraId="3E4B7E0B" w14:textId="028EB78F" w:rsidR="00705260" w:rsidRPr="0065355F" w:rsidRDefault="00705260" w:rsidP="00C93C23">
      <w:pPr>
        <w:pStyle w:val="Textpoznpodarou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174270">
        <w:rPr>
          <w:rStyle w:val="Znakapoznpodarou"/>
          <w:rFonts w:cs="Arial"/>
          <w:sz w:val="18"/>
          <w:szCs w:val="18"/>
          <w:lang w:bidi="en-US"/>
        </w:rPr>
        <w:footnoteRef/>
      </w:r>
      <w:r w:rsidRPr="00174270">
        <w:rPr>
          <w:rFonts w:cs="Arial"/>
          <w:sz w:val="18"/>
          <w:szCs w:val="18"/>
          <w:lang w:bidi="en-US"/>
        </w:rPr>
        <w:t xml:space="preserve"> I</w:t>
      </w:r>
      <w:r>
        <w:rPr>
          <w:rFonts w:cs="Arial"/>
          <w:sz w:val="18"/>
          <w:szCs w:val="18"/>
          <w:lang w:bidi="en-US"/>
        </w:rPr>
        <w:t>f</w:t>
      </w:r>
      <w:r w:rsidRPr="00174270">
        <w:rPr>
          <w:rFonts w:cs="Arial"/>
          <w:sz w:val="18"/>
          <w:szCs w:val="18"/>
          <w:lang w:bidi="en-US"/>
        </w:rPr>
        <w:t xml:space="preserve"> applicable to the definition of the relevant entity.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CABF" w14:textId="153DCD97" w:rsidR="003C33FB" w:rsidRDefault="003C33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0" wp14:anchorId="7F04E947" wp14:editId="1D763DB5">
          <wp:simplePos x="0" y="0"/>
          <wp:positionH relativeFrom="page">
            <wp:posOffset>242570</wp:posOffset>
          </wp:positionH>
          <wp:positionV relativeFrom="topMargin">
            <wp:posOffset>116840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44C"/>
    <w:multiLevelType w:val="hybridMultilevel"/>
    <w:tmpl w:val="5D283E54"/>
    <w:lvl w:ilvl="0" w:tplc="0AB29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DB2AD5"/>
    <w:multiLevelType w:val="hybridMultilevel"/>
    <w:tmpl w:val="7E2825DA"/>
    <w:lvl w:ilvl="0" w:tplc="D4E25E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2D6E"/>
    <w:multiLevelType w:val="hybridMultilevel"/>
    <w:tmpl w:val="35D45EC8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A28"/>
    <w:multiLevelType w:val="hybridMultilevel"/>
    <w:tmpl w:val="F274D14C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26C1"/>
    <w:multiLevelType w:val="hybridMultilevel"/>
    <w:tmpl w:val="18BC52D2"/>
    <w:lvl w:ilvl="0" w:tplc="21448782">
      <w:start w:val="1"/>
      <w:numFmt w:val="upperLetter"/>
      <w:lvlText w:val="%1-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4075957"/>
    <w:multiLevelType w:val="hybridMultilevel"/>
    <w:tmpl w:val="6E9E1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B76A6"/>
    <w:multiLevelType w:val="hybridMultilevel"/>
    <w:tmpl w:val="DD4A0D1C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41BD"/>
    <w:multiLevelType w:val="hybridMultilevel"/>
    <w:tmpl w:val="D512A74A"/>
    <w:lvl w:ilvl="0" w:tplc="D4E25EB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D4E25EB8">
      <w:start w:val="1"/>
      <w:numFmt w:val="bullet"/>
      <w:lvlText w:val="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C2167"/>
    <w:multiLevelType w:val="hybridMultilevel"/>
    <w:tmpl w:val="45EA7078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D3235"/>
    <w:multiLevelType w:val="hybridMultilevel"/>
    <w:tmpl w:val="9D2872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1F38"/>
    <w:multiLevelType w:val="hybridMultilevel"/>
    <w:tmpl w:val="A82C4496"/>
    <w:lvl w:ilvl="0" w:tplc="8DB035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1412A"/>
    <w:multiLevelType w:val="hybridMultilevel"/>
    <w:tmpl w:val="3E0E252A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7FAD"/>
    <w:multiLevelType w:val="hybridMultilevel"/>
    <w:tmpl w:val="D126244E"/>
    <w:lvl w:ilvl="0" w:tplc="D4E25EB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D4E25EB8">
      <w:start w:val="1"/>
      <w:numFmt w:val="bullet"/>
      <w:lvlText w:val="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F13B0A"/>
    <w:multiLevelType w:val="hybridMultilevel"/>
    <w:tmpl w:val="C1EE70A8"/>
    <w:lvl w:ilvl="0" w:tplc="E2C41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5CE9"/>
    <w:multiLevelType w:val="hybridMultilevel"/>
    <w:tmpl w:val="D8B642F2"/>
    <w:lvl w:ilvl="0" w:tplc="2638BED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837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8F4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07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AB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4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84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F0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873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820492"/>
    <w:multiLevelType w:val="hybridMultilevel"/>
    <w:tmpl w:val="C244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31"/>
    <w:rsid w:val="00020E19"/>
    <w:rsid w:val="000316A8"/>
    <w:rsid w:val="00053D2E"/>
    <w:rsid w:val="00065FB4"/>
    <w:rsid w:val="000663A8"/>
    <w:rsid w:val="000862E1"/>
    <w:rsid w:val="000923B1"/>
    <w:rsid w:val="000A0EE4"/>
    <w:rsid w:val="000B163A"/>
    <w:rsid w:val="000C1AB2"/>
    <w:rsid w:val="000C437F"/>
    <w:rsid w:val="000D0EFF"/>
    <w:rsid w:val="000D7A65"/>
    <w:rsid w:val="000E0AAE"/>
    <w:rsid w:val="000F162A"/>
    <w:rsid w:val="000F6E99"/>
    <w:rsid w:val="00101A96"/>
    <w:rsid w:val="00111078"/>
    <w:rsid w:val="00121DA5"/>
    <w:rsid w:val="00146C01"/>
    <w:rsid w:val="00151031"/>
    <w:rsid w:val="00167B5F"/>
    <w:rsid w:val="00174270"/>
    <w:rsid w:val="00177D1E"/>
    <w:rsid w:val="001A4BCD"/>
    <w:rsid w:val="001B5056"/>
    <w:rsid w:val="001B55F8"/>
    <w:rsid w:val="001B752F"/>
    <w:rsid w:val="001E0047"/>
    <w:rsid w:val="001E3212"/>
    <w:rsid w:val="001F1082"/>
    <w:rsid w:val="00234A88"/>
    <w:rsid w:val="00257E1F"/>
    <w:rsid w:val="00277C1A"/>
    <w:rsid w:val="00283693"/>
    <w:rsid w:val="002A05E3"/>
    <w:rsid w:val="002C0DA5"/>
    <w:rsid w:val="002D4731"/>
    <w:rsid w:val="002E4BFF"/>
    <w:rsid w:val="003264AF"/>
    <w:rsid w:val="00362A32"/>
    <w:rsid w:val="00366A04"/>
    <w:rsid w:val="00371FCA"/>
    <w:rsid w:val="00381E43"/>
    <w:rsid w:val="003916DF"/>
    <w:rsid w:val="00394742"/>
    <w:rsid w:val="003C33FB"/>
    <w:rsid w:val="003F6C49"/>
    <w:rsid w:val="0042680E"/>
    <w:rsid w:val="00432FA9"/>
    <w:rsid w:val="004423B1"/>
    <w:rsid w:val="004476B0"/>
    <w:rsid w:val="004552CD"/>
    <w:rsid w:val="0048277F"/>
    <w:rsid w:val="00483FF5"/>
    <w:rsid w:val="00493E81"/>
    <w:rsid w:val="004A6A2E"/>
    <w:rsid w:val="004B70CA"/>
    <w:rsid w:val="004C1ACE"/>
    <w:rsid w:val="004C3B03"/>
    <w:rsid w:val="004E621A"/>
    <w:rsid w:val="004F3C1A"/>
    <w:rsid w:val="005019F3"/>
    <w:rsid w:val="005268F9"/>
    <w:rsid w:val="00540898"/>
    <w:rsid w:val="00542C91"/>
    <w:rsid w:val="00554AD9"/>
    <w:rsid w:val="005B064F"/>
    <w:rsid w:val="005B6EFF"/>
    <w:rsid w:val="005D35FA"/>
    <w:rsid w:val="00633C42"/>
    <w:rsid w:val="006524EF"/>
    <w:rsid w:val="0065355F"/>
    <w:rsid w:val="006673E6"/>
    <w:rsid w:val="00686420"/>
    <w:rsid w:val="00690751"/>
    <w:rsid w:val="006A02D2"/>
    <w:rsid w:val="006B4308"/>
    <w:rsid w:val="006B6ECF"/>
    <w:rsid w:val="00705260"/>
    <w:rsid w:val="00707ADA"/>
    <w:rsid w:val="00721DEE"/>
    <w:rsid w:val="00745C4D"/>
    <w:rsid w:val="00783F52"/>
    <w:rsid w:val="007C0EE6"/>
    <w:rsid w:val="007D11AF"/>
    <w:rsid w:val="00822BD1"/>
    <w:rsid w:val="00826626"/>
    <w:rsid w:val="00830B67"/>
    <w:rsid w:val="00860F97"/>
    <w:rsid w:val="008B163C"/>
    <w:rsid w:val="008B2EFA"/>
    <w:rsid w:val="008C3FC1"/>
    <w:rsid w:val="008D0265"/>
    <w:rsid w:val="008D094E"/>
    <w:rsid w:val="008D6841"/>
    <w:rsid w:val="008F0D69"/>
    <w:rsid w:val="008F2446"/>
    <w:rsid w:val="00904891"/>
    <w:rsid w:val="00913FD3"/>
    <w:rsid w:val="00934135"/>
    <w:rsid w:val="00935F4D"/>
    <w:rsid w:val="0094583E"/>
    <w:rsid w:val="00967769"/>
    <w:rsid w:val="009A1FD1"/>
    <w:rsid w:val="00A04899"/>
    <w:rsid w:val="00A86F0A"/>
    <w:rsid w:val="00A87065"/>
    <w:rsid w:val="00AC6E8F"/>
    <w:rsid w:val="00B06BA9"/>
    <w:rsid w:val="00B240FA"/>
    <w:rsid w:val="00B34C28"/>
    <w:rsid w:val="00B85D9B"/>
    <w:rsid w:val="00BA4EFE"/>
    <w:rsid w:val="00BB39CD"/>
    <w:rsid w:val="00BE48F5"/>
    <w:rsid w:val="00BE5E36"/>
    <w:rsid w:val="00C01A25"/>
    <w:rsid w:val="00C01E3F"/>
    <w:rsid w:val="00C13564"/>
    <w:rsid w:val="00C22C9B"/>
    <w:rsid w:val="00C47853"/>
    <w:rsid w:val="00C6526F"/>
    <w:rsid w:val="00C8688E"/>
    <w:rsid w:val="00C86FE2"/>
    <w:rsid w:val="00C87D26"/>
    <w:rsid w:val="00C93C23"/>
    <w:rsid w:val="00CB3675"/>
    <w:rsid w:val="00CB745D"/>
    <w:rsid w:val="00CC4075"/>
    <w:rsid w:val="00CE49D2"/>
    <w:rsid w:val="00D51DA2"/>
    <w:rsid w:val="00D80BAD"/>
    <w:rsid w:val="00D8200D"/>
    <w:rsid w:val="00DA001B"/>
    <w:rsid w:val="00DA4EDB"/>
    <w:rsid w:val="00DD5125"/>
    <w:rsid w:val="00DE0795"/>
    <w:rsid w:val="00E02D24"/>
    <w:rsid w:val="00E02EC3"/>
    <w:rsid w:val="00E17E4F"/>
    <w:rsid w:val="00E4442B"/>
    <w:rsid w:val="00E5047B"/>
    <w:rsid w:val="00E7276D"/>
    <w:rsid w:val="00E727C6"/>
    <w:rsid w:val="00E8224C"/>
    <w:rsid w:val="00E866C4"/>
    <w:rsid w:val="00E9336F"/>
    <w:rsid w:val="00EA556B"/>
    <w:rsid w:val="00EC552A"/>
    <w:rsid w:val="00EE350A"/>
    <w:rsid w:val="00EE3B25"/>
    <w:rsid w:val="00F0335E"/>
    <w:rsid w:val="00F05A2B"/>
    <w:rsid w:val="00F11E49"/>
    <w:rsid w:val="00F1225B"/>
    <w:rsid w:val="00F13FD4"/>
    <w:rsid w:val="00F37301"/>
    <w:rsid w:val="00F63295"/>
    <w:rsid w:val="00F65987"/>
    <w:rsid w:val="00F8769A"/>
    <w:rsid w:val="00F924DF"/>
    <w:rsid w:val="00FB2688"/>
    <w:rsid w:val="00FE1A4E"/>
    <w:rsid w:val="00FE45C2"/>
    <w:rsid w:val="00FF044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8D44C"/>
  <w15:chartTrackingRefBased/>
  <w15:docId w15:val="{055781C5-BD31-4D7E-BE24-55EC642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0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B1"/>
  </w:style>
  <w:style w:type="paragraph" w:styleId="Zpat">
    <w:name w:val="footer"/>
    <w:basedOn w:val="Normln"/>
    <w:link w:val="ZpatChar"/>
    <w:uiPriority w:val="99"/>
    <w:unhideWhenUsed/>
    <w:rsid w:val="000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B1"/>
  </w:style>
  <w:style w:type="table" w:styleId="Mkatabulky">
    <w:name w:val="Table Grid"/>
    <w:basedOn w:val="Normlntabulka"/>
    <w:uiPriority w:val="39"/>
    <w:rsid w:val="0009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02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265"/>
    <w:rPr>
      <w:rFonts w:ascii="Times New Roman" w:hAnsi="Times New Roman" w:cs="Times New Roman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36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36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B36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CB36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36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B3675"/>
    <w:rPr>
      <w:vertAlign w:val="superscript"/>
    </w:rPr>
  </w:style>
  <w:style w:type="paragraph" w:styleId="Revize">
    <w:name w:val="Revision"/>
    <w:hidden/>
    <w:uiPriority w:val="99"/>
    <w:semiHidden/>
    <w:rsid w:val="00C01A2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3730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30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30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30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15OPMSMT0001-28-31854</_dlc_DocId>
    <_dlc_DocIdUrl xmlns="0104a4cd-1400-468e-be1b-c7aad71d7d5a">
      <Url>http://op.msmt.cz/_layouts/15/DocIdRedir.aspx?ID=15OPMSMT0001-28-31854</Url>
      <Description>15OPMSMT0001-28-31854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BCF6-8C8E-4867-99ED-BF5A92F5D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F905C-1DD4-4CDF-BCCA-B53A2406D62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D92C343C-99BB-4FC0-A11E-31BDD8583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ED1DD-5195-403D-92AD-EDB9C79889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C59348-3A1A-4ACF-AA79-355D710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Pšeničková Iva</dc:creator>
  <cp:keywords/>
  <dc:description/>
  <cp:lastModifiedBy>Anděrová Martina</cp:lastModifiedBy>
  <cp:revision>3</cp:revision>
  <cp:lastPrinted>2017-05-30T12:05:00Z</cp:lastPrinted>
  <dcterms:created xsi:type="dcterms:W3CDTF">2020-07-27T08:23:00Z</dcterms:created>
  <dcterms:modified xsi:type="dcterms:W3CDTF">2020-07-27T08:24:00Z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723ed2ce-7877-4fe7-8a11-87507e50675b</vt:lpwstr>
  </property>
</Properties>
</file>