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A3" w:rsidRDefault="003C1CA3">
      <w:pPr>
        <w:rPr>
          <w:rFonts w:ascii="Arial" w:hAnsi="Arial" w:cs="Arial"/>
          <w:b/>
        </w:rPr>
      </w:pPr>
      <w:r w:rsidRPr="00C908BD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6F2F1F1" wp14:editId="51386B96">
            <wp:simplePos x="0" y="0"/>
            <wp:positionH relativeFrom="page">
              <wp:posOffset>152400</wp:posOffset>
            </wp:positionH>
            <wp:positionV relativeFrom="topMargin">
              <wp:posOffset>238125</wp:posOffset>
            </wp:positionV>
            <wp:extent cx="7200000" cy="1850400"/>
            <wp:effectExtent l="0" t="0" r="1270" b="0"/>
            <wp:wrapTight wrapText="bothSides">
              <wp:wrapPolygon edited="0">
                <wp:start x="21600" y="21600"/>
                <wp:lineTo x="21600" y="252"/>
                <wp:lineTo x="53" y="252"/>
                <wp:lineTo x="53" y="21600"/>
                <wp:lineTo x="21600" y="2160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43"/>
                    <a:stretch/>
                  </pic:blipFill>
                  <pic:spPr bwMode="auto">
                    <a:xfrm rot="10800000">
                      <a:off x="0" y="0"/>
                      <a:ext cx="7200000" cy="18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7490" wp14:editId="21989886">
                <wp:simplePos x="0" y="0"/>
                <wp:positionH relativeFrom="column">
                  <wp:posOffset>-547370</wp:posOffset>
                </wp:positionH>
                <wp:positionV relativeFrom="paragraph">
                  <wp:posOffset>-163195</wp:posOffset>
                </wp:positionV>
                <wp:extent cx="6999605" cy="11906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60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CA3" w:rsidRPr="003C1CA3" w:rsidRDefault="003C1CA3" w:rsidP="003C1CA3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C1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CBA</w:t>
                            </w:r>
                          </w:p>
                          <w:p w:rsidR="003C1CA3" w:rsidRPr="003C1CA3" w:rsidRDefault="003C1CA3" w:rsidP="003C1CA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C1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Nejčastější dotazy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749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3.1pt;margin-top:-12.85pt;width:551.1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" filled="f" stroked="f" strokeweight=".5pt">
                <v:textbox>
                  <w:txbxContent>
                    <w:p w:rsidR="003C1CA3" w:rsidRPr="003C1CA3" w:rsidRDefault="003C1CA3" w:rsidP="003C1CA3">
                      <w:pPr>
                        <w:spacing w:after="36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C1CA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CBA</w:t>
                      </w:r>
                    </w:p>
                    <w:p w:rsidR="003C1CA3" w:rsidRPr="003C1CA3" w:rsidRDefault="003C1CA3" w:rsidP="003C1CA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C1CA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Nejčastější dotazy</w:t>
                      </w:r>
                    </w:p>
                  </w:txbxContent>
                </v:textbox>
              </v:shape>
            </w:pict>
          </mc:Fallback>
        </mc:AlternateContent>
      </w:r>
    </w:p>
    <w:p w:rsidR="00536820" w:rsidRPr="003C1CA3" w:rsidRDefault="00536820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Záložka „Základní informace“: </w:t>
      </w:r>
    </w:p>
    <w:p w:rsidR="00536820" w:rsidRPr="003C1CA3" w:rsidRDefault="00536820">
      <w:pPr>
        <w:rPr>
          <w:rFonts w:ascii="Arial" w:hAnsi="Arial" w:cs="Arial"/>
        </w:rPr>
      </w:pPr>
    </w:p>
    <w:p w:rsidR="00536820" w:rsidRPr="003C1CA3" w:rsidRDefault="00536820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Navázání CBA k projektu - ke každému projektu by měla být navázána právě jedna CBA. Při závěrečné kontrole CBA před finalizací jsou kontrolována všechna CBA a navázání více CBA může komplikovat finalizaci. </w:t>
      </w:r>
      <w:r w:rsidR="00EF58F5" w:rsidRPr="003C1CA3">
        <w:rPr>
          <w:rFonts w:ascii="Arial" w:hAnsi="Arial" w:cs="Arial"/>
        </w:rPr>
        <w:t xml:space="preserve">Pokud máte již projekt i CBA finalizováno, je uvedená chyba bezpředmětná. </w:t>
      </w:r>
    </w:p>
    <w:p w:rsidR="00536820" w:rsidRPr="003C1CA3" w:rsidRDefault="00536820">
      <w:pPr>
        <w:rPr>
          <w:rFonts w:ascii="Arial" w:hAnsi="Arial" w:cs="Arial"/>
        </w:rPr>
      </w:pPr>
    </w:p>
    <w:p w:rsidR="00536820" w:rsidRPr="003C1CA3" w:rsidRDefault="00536820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Záložka „Investice a zdroje“: </w:t>
      </w:r>
    </w:p>
    <w:p w:rsidR="00536820" w:rsidRPr="003C1CA3" w:rsidRDefault="00536820">
      <w:pPr>
        <w:rPr>
          <w:rFonts w:ascii="Arial" w:hAnsi="Arial" w:cs="Arial"/>
        </w:rPr>
      </w:pPr>
    </w:p>
    <w:p w:rsidR="00536820" w:rsidRPr="003C1CA3" w:rsidRDefault="00536820" w:rsidP="00536820">
      <w:pPr>
        <w:rPr>
          <w:rFonts w:ascii="Arial" w:hAnsi="Arial" w:cs="Arial"/>
        </w:rPr>
      </w:pPr>
      <w:r w:rsidRPr="003C1CA3">
        <w:rPr>
          <w:rFonts w:ascii="Arial" w:hAnsi="Arial" w:cs="Arial"/>
        </w:rPr>
        <w:t>Tabulka investičních nákladů na záložce Investice a zdroje musí odpovídat tabulce rozpočtu (do tabulky jsou tedy zadávány jak investiční, tak i neinvestiční položky rozpočtu projektu). Zdroje financování uvedené na záložce Investice a zdroje musí právě pokrývat rozpočet projektu.</w:t>
      </w:r>
    </w:p>
    <w:p w:rsidR="00536820" w:rsidRPr="003C1CA3" w:rsidRDefault="00536820" w:rsidP="00536820">
      <w:pPr>
        <w:rPr>
          <w:rFonts w:ascii="Arial" w:hAnsi="Arial" w:cs="Arial"/>
        </w:rPr>
      </w:pPr>
    </w:p>
    <w:p w:rsidR="00536820" w:rsidRPr="003C1CA3" w:rsidRDefault="00536820" w:rsidP="00536820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Záložka „Provozní náklady a výnosy“: </w:t>
      </w:r>
    </w:p>
    <w:p w:rsidR="00536820" w:rsidRPr="003C1CA3" w:rsidRDefault="00536820" w:rsidP="00536820">
      <w:pPr>
        <w:rPr>
          <w:rFonts w:ascii="Arial" w:hAnsi="Arial" w:cs="Arial"/>
        </w:rPr>
      </w:pPr>
    </w:p>
    <w:p w:rsidR="00536820" w:rsidRPr="003C1CA3" w:rsidRDefault="00536820" w:rsidP="00536820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Provozní náklady musí umožnit zajištění udržitelnosti projektu a dosažení deklarovaných cílů (včetně </w:t>
      </w:r>
      <w:proofErr w:type="spellStart"/>
      <w:r w:rsidRPr="003C1CA3">
        <w:rPr>
          <w:rFonts w:ascii="Arial" w:hAnsi="Arial" w:cs="Arial"/>
        </w:rPr>
        <w:t>socio</w:t>
      </w:r>
      <w:proofErr w:type="spellEnd"/>
      <w:r w:rsidRPr="003C1CA3">
        <w:rPr>
          <w:rFonts w:ascii="Arial" w:hAnsi="Arial" w:cs="Arial"/>
        </w:rPr>
        <w:t xml:space="preserve">-ekonomických dopadů) projektu. </w:t>
      </w:r>
    </w:p>
    <w:p w:rsidR="00536820" w:rsidRPr="003C1CA3" w:rsidRDefault="00536820" w:rsidP="00536820">
      <w:pPr>
        <w:rPr>
          <w:rFonts w:ascii="Arial" w:hAnsi="Arial" w:cs="Arial"/>
        </w:rPr>
      </w:pPr>
    </w:p>
    <w:p w:rsidR="00536820" w:rsidRPr="003C1CA3" w:rsidRDefault="00536820" w:rsidP="00536820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Položka Provozní výnosy představuje zejména hospodářskou činnost realizovanou díky projektu (smluvní výzkum, prodej patentů a práv, apod.). Komentář k položce uveďte prosím ve studii proveditelnosti. </w:t>
      </w:r>
    </w:p>
    <w:p w:rsidR="00536820" w:rsidRPr="003C1CA3" w:rsidRDefault="00536820" w:rsidP="00536820">
      <w:pPr>
        <w:rPr>
          <w:rFonts w:ascii="Arial" w:hAnsi="Arial" w:cs="Arial"/>
        </w:rPr>
      </w:pPr>
    </w:p>
    <w:p w:rsidR="00536820" w:rsidRPr="003C1CA3" w:rsidRDefault="00536820" w:rsidP="00536820">
      <w:pPr>
        <w:rPr>
          <w:rFonts w:ascii="Arial" w:hAnsi="Arial" w:cs="Arial"/>
        </w:rPr>
      </w:pPr>
      <w:r w:rsidRPr="003C1CA3">
        <w:rPr>
          <w:rFonts w:ascii="Arial" w:hAnsi="Arial" w:cs="Arial"/>
        </w:rPr>
        <w:t>Položka Financování provozní ztráty by měla zahrnovat zdroje pro finanční udržitelnost, které budou použity na úhradu provozní ztráty projektu. Patří sem zejména účelové prostředky poskytované MŠMT, MPO, GAČR, TAČR a dalšími veřejnými institucemi, příjmy z mezinárodních grantů (7. RP, Horizont 2020, apod.), institucionální prostředky RVO, příspěvek na vzdělávací činnost, fondy VVŠ, prostředky z doplňkové činnosti, příjmy z krajských nebo obecních rozpočtů a ostatní zdroje financování.  Komentář k jejich zajištění uveďte ve studii proveditelnosti.</w:t>
      </w:r>
    </w:p>
    <w:p w:rsidR="00536820" w:rsidRPr="003C1CA3" w:rsidRDefault="00536820">
      <w:pPr>
        <w:rPr>
          <w:rFonts w:ascii="Arial" w:hAnsi="Arial" w:cs="Arial"/>
        </w:rPr>
      </w:pPr>
    </w:p>
    <w:p w:rsidR="00536820" w:rsidRPr="003C1CA3" w:rsidRDefault="00536820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Záložka „Zůstatková hodnota“: </w:t>
      </w:r>
    </w:p>
    <w:p w:rsidR="00536820" w:rsidRPr="003C1CA3" w:rsidRDefault="00536820">
      <w:pPr>
        <w:rPr>
          <w:rFonts w:ascii="Arial" w:hAnsi="Arial" w:cs="Arial"/>
        </w:rPr>
      </w:pPr>
    </w:p>
    <w:p w:rsidR="00536820" w:rsidRPr="003C1CA3" w:rsidRDefault="00536820">
      <w:pPr>
        <w:rPr>
          <w:rFonts w:ascii="Arial" w:hAnsi="Arial" w:cs="Arial"/>
        </w:rPr>
      </w:pPr>
      <w:r w:rsidRPr="003C1CA3">
        <w:rPr>
          <w:rFonts w:ascii="Arial" w:hAnsi="Arial" w:cs="Arial"/>
        </w:rPr>
        <w:t>U projektů nevytvářejících zisk lze obvykle předpokládat nulovou zůstatkovou hodnotu.</w:t>
      </w:r>
      <w:r w:rsidR="00EF58F5" w:rsidRPr="003C1CA3">
        <w:rPr>
          <w:rFonts w:ascii="Arial" w:hAnsi="Arial" w:cs="Arial"/>
        </w:rPr>
        <w:t xml:space="preserve"> Jiné hodnoty musí být řádně zdůvodněny. </w:t>
      </w:r>
    </w:p>
    <w:p w:rsidR="00536820" w:rsidRPr="003C1CA3" w:rsidRDefault="00536820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Záložka „Udržitelnost pro FA“: </w:t>
      </w:r>
    </w:p>
    <w:p w:rsidR="00EF58F5" w:rsidRPr="003C1CA3" w:rsidRDefault="00EF58F5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Pro potřeby ověření finanční udržitelnosti je rozhodující výsledek na záložce Udržitelnost pro FA (udržitelnost = ano). </w:t>
      </w:r>
    </w:p>
    <w:p w:rsidR="00EF58F5" w:rsidRPr="003C1CA3" w:rsidRDefault="00EF58F5">
      <w:pPr>
        <w:rPr>
          <w:rFonts w:ascii="Arial" w:hAnsi="Arial" w:cs="Arial"/>
        </w:rPr>
      </w:pPr>
    </w:p>
    <w:p w:rsidR="000B3DB4" w:rsidRPr="003C1CA3" w:rsidRDefault="00EF58F5" w:rsidP="003C1CA3">
      <w:pPr>
        <w:keepNext/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lastRenderedPageBreak/>
        <w:t>Záložka „</w:t>
      </w:r>
      <w:proofErr w:type="spellStart"/>
      <w:r w:rsidRPr="003C1CA3">
        <w:rPr>
          <w:rFonts w:ascii="Arial" w:hAnsi="Arial" w:cs="Arial"/>
          <w:b/>
        </w:rPr>
        <w:t>So</w:t>
      </w:r>
      <w:r w:rsidR="000B3DB4" w:rsidRPr="003C1CA3">
        <w:rPr>
          <w:rFonts w:ascii="Arial" w:hAnsi="Arial" w:cs="Arial"/>
          <w:b/>
        </w:rPr>
        <w:t>cio</w:t>
      </w:r>
      <w:proofErr w:type="spellEnd"/>
      <w:r w:rsidR="000B3DB4" w:rsidRPr="003C1CA3">
        <w:rPr>
          <w:rFonts w:ascii="Arial" w:hAnsi="Arial" w:cs="Arial"/>
          <w:b/>
        </w:rPr>
        <w:t>-ekonomické dopady“</w:t>
      </w:r>
      <w:r w:rsidRPr="003C1CA3">
        <w:rPr>
          <w:rFonts w:ascii="Arial" w:hAnsi="Arial" w:cs="Arial"/>
          <w:b/>
        </w:rPr>
        <w:t xml:space="preserve">: </w:t>
      </w:r>
      <w:r w:rsidR="00564B05" w:rsidRPr="003C1CA3">
        <w:rPr>
          <w:rFonts w:ascii="Arial" w:hAnsi="Arial" w:cs="Arial"/>
          <w:b/>
        </w:rPr>
        <w:t xml:space="preserve"> </w:t>
      </w:r>
    </w:p>
    <w:p w:rsidR="00564B05" w:rsidRPr="003C1CA3" w:rsidRDefault="00564B05" w:rsidP="003C1CA3">
      <w:pPr>
        <w:keepNext/>
        <w:rPr>
          <w:rFonts w:ascii="Arial" w:hAnsi="Arial" w:cs="Arial"/>
        </w:rPr>
      </w:pPr>
    </w:p>
    <w:p w:rsidR="00F403FD" w:rsidRPr="003C1CA3" w:rsidRDefault="000B3DB4" w:rsidP="003C1CA3">
      <w:pPr>
        <w:keepNext/>
        <w:rPr>
          <w:rFonts w:ascii="Arial" w:hAnsi="Arial" w:cs="Arial"/>
        </w:rPr>
      </w:pPr>
      <w:r w:rsidRPr="003C1CA3">
        <w:rPr>
          <w:rFonts w:ascii="Arial" w:hAnsi="Arial" w:cs="Arial"/>
        </w:rPr>
        <w:t>Počet vytvořených pracovních míst (FTE) odpovídá počtu pracovních míst přímo vytvořených projektem, nepřímo vytvořená pracovní místa jinde v ekonomice (např. u dodavatelů, apod.) nesmí být do kalkulace dopadů zahrnuta. Počet vytvořených pracovních míst</w:t>
      </w:r>
      <w:r w:rsidR="0009622D" w:rsidRPr="003C1CA3">
        <w:rPr>
          <w:rFonts w:ascii="Arial" w:hAnsi="Arial" w:cs="Arial"/>
        </w:rPr>
        <w:t xml:space="preserve"> (FTE)</w:t>
      </w:r>
      <w:r w:rsidRPr="003C1CA3">
        <w:rPr>
          <w:rFonts w:ascii="Arial" w:hAnsi="Arial" w:cs="Arial"/>
        </w:rPr>
        <w:t xml:space="preserve"> </w:t>
      </w:r>
      <w:r w:rsidR="00F403FD" w:rsidRPr="003C1CA3">
        <w:rPr>
          <w:rFonts w:ascii="Arial" w:hAnsi="Arial" w:cs="Arial"/>
        </w:rPr>
        <w:t xml:space="preserve">je zadáván ve všech letech hodnocení po dobu, kdy budou daná </w:t>
      </w:r>
      <w:r w:rsidR="005200E2" w:rsidRPr="003C1CA3">
        <w:rPr>
          <w:rFonts w:ascii="Arial" w:hAnsi="Arial" w:cs="Arial"/>
        </w:rPr>
        <w:t>pracovní místa obsazena. Definice</w:t>
      </w:r>
      <w:r w:rsidR="00F403FD" w:rsidRPr="003C1CA3">
        <w:rPr>
          <w:rFonts w:ascii="Arial" w:hAnsi="Arial" w:cs="Arial"/>
        </w:rPr>
        <w:t xml:space="preserve"> dopadu je mírně širší, než je definice indikátoru 2 04 00 Počet nových výzkumných pracovníků v podporovaných subjektech (FTE), hodnota dopadu může zahrnovat např. i administrativní nebo technické pracovníky, kteří do hodnoty indikátoru zahrnuti nejsou. </w:t>
      </w:r>
      <w:r w:rsidR="00564B05" w:rsidRPr="003C1CA3">
        <w:rPr>
          <w:rFonts w:ascii="Arial" w:hAnsi="Arial" w:cs="Arial"/>
        </w:rPr>
        <w:t>Při určování kategorie zaměstnání postupujte dle klasifikace CZ-ISCO.</w:t>
      </w:r>
      <w:r w:rsidR="00D77BCC" w:rsidRPr="003C1CA3">
        <w:rPr>
          <w:rFonts w:ascii="Arial" w:hAnsi="Arial" w:cs="Arial"/>
        </w:rPr>
        <w:t xml:space="preserve"> K</w:t>
      </w:r>
      <w:r w:rsidR="005200E2" w:rsidRPr="003C1CA3">
        <w:rPr>
          <w:rFonts w:ascii="Arial" w:hAnsi="Arial" w:cs="Arial"/>
        </w:rPr>
        <w:t xml:space="preserve">omentáře </w:t>
      </w:r>
      <w:r w:rsidR="00F403FD" w:rsidRPr="003C1CA3">
        <w:rPr>
          <w:rFonts w:ascii="Arial" w:hAnsi="Arial" w:cs="Arial"/>
        </w:rPr>
        <w:t xml:space="preserve">ke kalkulaci hodnoty dopadu </w:t>
      </w:r>
      <w:r w:rsidR="00D77BCC" w:rsidRPr="003C1CA3">
        <w:rPr>
          <w:rFonts w:ascii="Arial" w:hAnsi="Arial" w:cs="Arial"/>
        </w:rPr>
        <w:t>uvádějte ve</w:t>
      </w:r>
      <w:r w:rsidR="00F403FD" w:rsidRPr="003C1CA3">
        <w:rPr>
          <w:rFonts w:ascii="Arial" w:hAnsi="Arial" w:cs="Arial"/>
        </w:rPr>
        <w:t xml:space="preserve"> studi</w:t>
      </w:r>
      <w:r w:rsidR="00D77BCC" w:rsidRPr="003C1CA3">
        <w:rPr>
          <w:rFonts w:ascii="Arial" w:hAnsi="Arial" w:cs="Arial"/>
        </w:rPr>
        <w:t>i</w:t>
      </w:r>
      <w:r w:rsidR="00F403FD" w:rsidRPr="003C1CA3">
        <w:rPr>
          <w:rFonts w:ascii="Arial" w:hAnsi="Arial" w:cs="Arial"/>
        </w:rPr>
        <w:t xml:space="preserve"> proveditelnosti. </w:t>
      </w:r>
    </w:p>
    <w:p w:rsidR="00F403FD" w:rsidRPr="003C1CA3" w:rsidRDefault="00F403FD">
      <w:pPr>
        <w:rPr>
          <w:rFonts w:ascii="Arial" w:hAnsi="Arial" w:cs="Arial"/>
        </w:rPr>
      </w:pPr>
    </w:p>
    <w:p w:rsidR="00F403FD" w:rsidRPr="003C1CA3" w:rsidRDefault="0009622D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Hodnota socioekonomických </w:t>
      </w:r>
      <w:r w:rsidR="00F403FD" w:rsidRPr="003C1CA3">
        <w:rPr>
          <w:rFonts w:ascii="Arial" w:hAnsi="Arial" w:cs="Arial"/>
        </w:rPr>
        <w:t>dopadů zachycující</w:t>
      </w:r>
      <w:r w:rsidRPr="003C1CA3">
        <w:rPr>
          <w:rFonts w:ascii="Arial" w:hAnsi="Arial" w:cs="Arial"/>
        </w:rPr>
        <w:t>ch</w:t>
      </w:r>
      <w:r w:rsidR="00F403FD" w:rsidRPr="003C1CA3">
        <w:rPr>
          <w:rFonts w:ascii="Arial" w:hAnsi="Arial" w:cs="Arial"/>
        </w:rPr>
        <w:t xml:space="preserve"> výsledky vědecké činnosti</w:t>
      </w:r>
      <w:r w:rsidRPr="003C1CA3">
        <w:rPr>
          <w:rFonts w:ascii="Arial" w:hAnsi="Arial" w:cs="Arial"/>
        </w:rPr>
        <w:t xml:space="preserve"> za projekt</w:t>
      </w:r>
      <w:r w:rsidR="00F403FD" w:rsidRPr="003C1CA3">
        <w:rPr>
          <w:rFonts w:ascii="Arial" w:hAnsi="Arial" w:cs="Arial"/>
        </w:rPr>
        <w:t xml:space="preserve"> (publikace a patenty) je zadávána v souladu s definicí RIV. V případě odlišných hodnot od hodnoty indikátorů (zejména</w:t>
      </w:r>
      <w:r w:rsidRPr="003C1CA3">
        <w:rPr>
          <w:rFonts w:ascii="Arial" w:hAnsi="Arial" w:cs="Arial"/>
        </w:rPr>
        <w:t xml:space="preserve"> indikátory</w:t>
      </w:r>
      <w:r w:rsidR="00F403FD" w:rsidRPr="003C1CA3">
        <w:rPr>
          <w:rFonts w:ascii="Arial" w:hAnsi="Arial" w:cs="Arial"/>
        </w:rPr>
        <w:t xml:space="preserve"> 2 02 16 Odborné publikace se zahraničním spoluautorstvím, 2 02 11 Odborné publikace vytvořené podpořeným</w:t>
      </w:r>
      <w:r w:rsidR="005200E2" w:rsidRPr="003C1CA3">
        <w:rPr>
          <w:rFonts w:ascii="Arial" w:hAnsi="Arial" w:cs="Arial"/>
        </w:rPr>
        <w:t>i</w:t>
      </w:r>
      <w:r w:rsidR="00F403FD" w:rsidRPr="003C1CA3">
        <w:rPr>
          <w:rFonts w:ascii="Arial" w:hAnsi="Arial" w:cs="Arial"/>
        </w:rPr>
        <w:t xml:space="preserve"> subjekty</w:t>
      </w:r>
      <w:r w:rsidR="005200E2" w:rsidRPr="003C1CA3">
        <w:rPr>
          <w:rFonts w:ascii="Arial" w:hAnsi="Arial" w:cs="Arial"/>
        </w:rPr>
        <w:t xml:space="preserve"> a 2 20 11 Mezinárodní patentové přihlášky) </w:t>
      </w:r>
      <w:r w:rsidR="00D77BCC" w:rsidRPr="003C1CA3">
        <w:rPr>
          <w:rFonts w:ascii="Arial" w:hAnsi="Arial" w:cs="Arial"/>
        </w:rPr>
        <w:t>uveďte</w:t>
      </w:r>
      <w:r w:rsidR="005200E2" w:rsidRPr="003C1CA3">
        <w:rPr>
          <w:rFonts w:ascii="Arial" w:hAnsi="Arial" w:cs="Arial"/>
        </w:rPr>
        <w:t xml:space="preserve"> komentáře ke kalkulaci hodnoty dopadů </w:t>
      </w:r>
      <w:r w:rsidR="00D77BCC" w:rsidRPr="003C1CA3">
        <w:rPr>
          <w:rFonts w:ascii="Arial" w:hAnsi="Arial" w:cs="Arial"/>
        </w:rPr>
        <w:t>ve</w:t>
      </w:r>
      <w:r w:rsidR="005200E2" w:rsidRPr="003C1CA3">
        <w:rPr>
          <w:rFonts w:ascii="Arial" w:hAnsi="Arial" w:cs="Arial"/>
        </w:rPr>
        <w:t xml:space="preserve"> studi</w:t>
      </w:r>
      <w:r w:rsidR="00D77BCC" w:rsidRPr="003C1CA3">
        <w:rPr>
          <w:rFonts w:ascii="Arial" w:hAnsi="Arial" w:cs="Arial"/>
        </w:rPr>
        <w:t>i</w:t>
      </w:r>
      <w:r w:rsidR="005200E2" w:rsidRPr="003C1CA3">
        <w:rPr>
          <w:rFonts w:ascii="Arial" w:hAnsi="Arial" w:cs="Arial"/>
        </w:rPr>
        <w:t xml:space="preserve"> proveditelnosti. </w:t>
      </w:r>
    </w:p>
    <w:p w:rsidR="005200E2" w:rsidRPr="003C1CA3" w:rsidRDefault="005200E2">
      <w:pPr>
        <w:rPr>
          <w:rFonts w:ascii="Arial" w:hAnsi="Arial" w:cs="Arial"/>
        </w:rPr>
      </w:pPr>
    </w:p>
    <w:p w:rsidR="005200E2" w:rsidRPr="003C1CA3" w:rsidRDefault="005200E2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Hodnota dopadu zachycujícího objem smluvního výzkumu by měla být v souladu s hodnotou smluvního výzkumu zahrnutého do provozních výnosů na záložce Provozní náklady a výnosy. </w:t>
      </w:r>
      <w:r w:rsidR="00D77BCC" w:rsidRPr="003C1CA3">
        <w:rPr>
          <w:rFonts w:ascii="Arial" w:hAnsi="Arial" w:cs="Arial"/>
        </w:rPr>
        <w:t>K</w:t>
      </w:r>
      <w:r w:rsidRPr="003C1CA3">
        <w:rPr>
          <w:rFonts w:ascii="Arial" w:hAnsi="Arial" w:cs="Arial"/>
        </w:rPr>
        <w:t xml:space="preserve">omentář ke kalkulaci hodnoty dopadu </w:t>
      </w:r>
      <w:r w:rsidR="00D77BCC" w:rsidRPr="003C1CA3">
        <w:rPr>
          <w:rFonts w:ascii="Arial" w:hAnsi="Arial" w:cs="Arial"/>
        </w:rPr>
        <w:t>uveďte ve</w:t>
      </w:r>
      <w:r w:rsidRPr="003C1CA3">
        <w:rPr>
          <w:rFonts w:ascii="Arial" w:hAnsi="Arial" w:cs="Arial"/>
        </w:rPr>
        <w:t xml:space="preserve"> studi</w:t>
      </w:r>
      <w:r w:rsidR="00D77BCC" w:rsidRPr="003C1CA3">
        <w:rPr>
          <w:rFonts w:ascii="Arial" w:hAnsi="Arial" w:cs="Arial"/>
        </w:rPr>
        <w:t>i</w:t>
      </w:r>
      <w:r w:rsidRPr="003C1CA3">
        <w:rPr>
          <w:rFonts w:ascii="Arial" w:hAnsi="Arial" w:cs="Arial"/>
        </w:rPr>
        <w:t xml:space="preserve"> proveditelnosti.</w:t>
      </w:r>
    </w:p>
    <w:p w:rsidR="00F403FD" w:rsidRPr="003C1CA3" w:rsidRDefault="00F403FD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Záložka „Návratnost investic pro EA“: </w:t>
      </w:r>
    </w:p>
    <w:p w:rsidR="00EF58F5" w:rsidRPr="003C1CA3" w:rsidRDefault="00EF58F5">
      <w:pPr>
        <w:rPr>
          <w:rFonts w:ascii="Arial" w:hAnsi="Arial" w:cs="Arial"/>
        </w:rPr>
      </w:pPr>
    </w:p>
    <w:p w:rsidR="00EF58F5" w:rsidRPr="003C1CA3" w:rsidRDefault="00EF58F5" w:rsidP="00EF58F5">
      <w:pPr>
        <w:rPr>
          <w:rFonts w:ascii="Arial" w:hAnsi="Arial" w:cs="Arial"/>
        </w:rPr>
      </w:pPr>
      <w:r w:rsidRPr="003C1CA3">
        <w:rPr>
          <w:rFonts w:ascii="Arial" w:hAnsi="Arial" w:cs="Arial"/>
        </w:rPr>
        <w:t>Pro potřeby ověření pozitivního dopadu projektu na společnost je rozhodující záložka Návratnost investic pro EA, čistá současná hodnota &gt;= 0.</w:t>
      </w:r>
    </w:p>
    <w:p w:rsidR="000B3DB4" w:rsidRPr="003C1CA3" w:rsidRDefault="000B3DB4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  <w:b/>
        </w:rPr>
      </w:pPr>
      <w:r w:rsidRPr="003C1CA3">
        <w:rPr>
          <w:rFonts w:ascii="Arial" w:hAnsi="Arial" w:cs="Arial"/>
          <w:b/>
        </w:rPr>
        <w:t xml:space="preserve">Obecné poznámky: </w:t>
      </w:r>
    </w:p>
    <w:p w:rsidR="00EF58F5" w:rsidRPr="003C1CA3" w:rsidRDefault="00EF58F5">
      <w:pPr>
        <w:rPr>
          <w:rFonts w:ascii="Arial" w:hAnsi="Arial" w:cs="Arial"/>
        </w:rPr>
      </w:pPr>
    </w:p>
    <w:p w:rsidR="00525BDB" w:rsidRPr="003C1CA3" w:rsidRDefault="00EF58F5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Vedle výsledkových ukazatelů (udržitelnost pro FA = ano, návratnost investic pro EA, čistá současná hodnota &gt;= 0) bude předmětem hodnocení i ověření přiměřenosti a reálnosti vstupů do FA a EA.  Nezbytné komentáře, zdůvodnění a předpoklady uvádějte v textu studie proveditelnosti. </w:t>
      </w:r>
    </w:p>
    <w:p w:rsidR="00525BDB" w:rsidRPr="003C1CA3" w:rsidRDefault="00525BDB">
      <w:pPr>
        <w:rPr>
          <w:rFonts w:ascii="Arial" w:hAnsi="Arial" w:cs="Arial"/>
        </w:rPr>
      </w:pPr>
    </w:p>
    <w:p w:rsidR="00525BDB" w:rsidRPr="003C1CA3" w:rsidRDefault="00525BDB">
      <w:pPr>
        <w:rPr>
          <w:rFonts w:ascii="Arial" w:hAnsi="Arial" w:cs="Arial"/>
        </w:rPr>
      </w:pPr>
      <w:r w:rsidRPr="003C1CA3">
        <w:rPr>
          <w:rFonts w:ascii="Arial" w:hAnsi="Arial" w:cs="Arial"/>
        </w:rPr>
        <w:t xml:space="preserve">K ověření dat </w:t>
      </w:r>
      <w:r w:rsidR="005D05FC">
        <w:rPr>
          <w:rFonts w:ascii="Arial" w:hAnsi="Arial" w:cs="Arial"/>
        </w:rPr>
        <w:t xml:space="preserve">je možné využít i </w:t>
      </w:r>
      <w:proofErr w:type="gramStart"/>
      <w:r w:rsidR="005D05FC">
        <w:rPr>
          <w:rFonts w:ascii="Arial" w:hAnsi="Arial" w:cs="Arial"/>
        </w:rPr>
        <w:t>přiložený .</w:t>
      </w:r>
      <w:proofErr w:type="spellStart"/>
      <w:r w:rsidR="005D05FC">
        <w:rPr>
          <w:rFonts w:ascii="Arial" w:hAnsi="Arial" w:cs="Arial"/>
        </w:rPr>
        <w:t>xls</w:t>
      </w:r>
      <w:proofErr w:type="spellEnd"/>
      <w:proofErr w:type="gramEnd"/>
      <w:r w:rsidR="005D05FC">
        <w:rPr>
          <w:rFonts w:ascii="Arial" w:hAnsi="Arial" w:cs="Arial"/>
        </w:rPr>
        <w:t xml:space="preserve"> formulář</w:t>
      </w:r>
      <w:r w:rsidRPr="003C1CA3">
        <w:rPr>
          <w:rFonts w:ascii="Arial" w:hAnsi="Arial" w:cs="Arial"/>
        </w:rPr>
        <w:t xml:space="preserve">. </w:t>
      </w:r>
    </w:p>
    <w:p w:rsidR="00EF58F5" w:rsidRPr="003C1CA3" w:rsidRDefault="00EF58F5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</w:rPr>
      </w:pPr>
      <w:bookmarkStart w:id="0" w:name="_GoBack"/>
      <w:bookmarkEnd w:id="0"/>
    </w:p>
    <w:p w:rsidR="00EF58F5" w:rsidRPr="003C1CA3" w:rsidRDefault="00EF58F5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</w:rPr>
      </w:pPr>
    </w:p>
    <w:p w:rsidR="00EF58F5" w:rsidRPr="003C1CA3" w:rsidRDefault="00EF58F5">
      <w:pPr>
        <w:rPr>
          <w:rFonts w:ascii="Arial" w:hAnsi="Arial" w:cs="Arial"/>
        </w:rPr>
      </w:pPr>
    </w:p>
    <w:sectPr w:rsidR="00EF58F5" w:rsidRPr="003C1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E0" w:rsidRDefault="00923CE0" w:rsidP="003C1CA3">
      <w:pPr>
        <w:spacing w:line="240" w:lineRule="auto"/>
      </w:pPr>
      <w:r>
        <w:separator/>
      </w:r>
    </w:p>
  </w:endnote>
  <w:endnote w:type="continuationSeparator" w:id="0">
    <w:p w:rsidR="00923CE0" w:rsidRDefault="00923CE0" w:rsidP="003C1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A3" w:rsidRDefault="003C1CA3" w:rsidP="005D05FC">
    <w:pPr>
      <w:pStyle w:val="Zpat"/>
      <w:tabs>
        <w:tab w:val="clear" w:pos="4536"/>
        <w:tab w:val="clear" w:pos="9072"/>
        <w:tab w:val="left" w:pos="3480"/>
      </w:tabs>
      <w:jc w:val="center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4611600" cy="102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E0" w:rsidRDefault="00923CE0" w:rsidP="003C1CA3">
      <w:pPr>
        <w:spacing w:line="240" w:lineRule="auto"/>
      </w:pPr>
      <w:r>
        <w:separator/>
      </w:r>
    </w:p>
  </w:footnote>
  <w:footnote w:type="continuationSeparator" w:id="0">
    <w:p w:rsidR="00923CE0" w:rsidRDefault="00923CE0" w:rsidP="003C1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4"/>
    <w:rsid w:val="0009622D"/>
    <w:rsid w:val="000B3DB4"/>
    <w:rsid w:val="00247D61"/>
    <w:rsid w:val="003C1CA3"/>
    <w:rsid w:val="005200E2"/>
    <w:rsid w:val="00525BDB"/>
    <w:rsid w:val="00536820"/>
    <w:rsid w:val="00564B05"/>
    <w:rsid w:val="005C4C50"/>
    <w:rsid w:val="005D05FC"/>
    <w:rsid w:val="00907586"/>
    <w:rsid w:val="00923CE0"/>
    <w:rsid w:val="0099603B"/>
    <w:rsid w:val="009E2A64"/>
    <w:rsid w:val="00D36892"/>
    <w:rsid w:val="00D44516"/>
    <w:rsid w:val="00D77BCC"/>
    <w:rsid w:val="00EF58F5"/>
    <w:rsid w:val="00F4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DF686-80AA-48F9-9793-EA64678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C50"/>
    <w:rPr>
      <w:rFonts w:ascii="Verdana" w:hAnsi="Verdana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07586"/>
    <w:pPr>
      <w:keepNext/>
      <w:keepLines/>
      <w:outlineLvl w:val="0"/>
    </w:pPr>
    <w:rPr>
      <w:rFonts w:eastAsiaTheme="majorEastAsia" w:cstheme="majorBidi"/>
      <w:b/>
      <w:bCs/>
      <w:smallCaps/>
      <w:color w:val="000000" w:themeColor="text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7586"/>
    <w:rPr>
      <w:rFonts w:ascii="Verdana" w:eastAsiaTheme="majorEastAsia" w:hAnsi="Verdana" w:cstheme="majorBidi"/>
      <w:b/>
      <w:bCs/>
      <w:smallCaps/>
      <w:color w:val="000000" w:themeColor="text1"/>
      <w:sz w:val="20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BC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1C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CA3"/>
    <w:rPr>
      <w:rFonts w:ascii="Verdana" w:hAnsi="Verdan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1C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CA3"/>
    <w:rPr>
      <w:rFonts w:ascii="Verdana" w:hAnsi="Verdan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D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(ecba)</dc:creator>
  <cp:keywords/>
  <dc:description/>
  <cp:lastModifiedBy>Menclová Lenka</cp:lastModifiedBy>
  <cp:revision>2</cp:revision>
  <cp:lastPrinted>2016-02-02T11:53:00Z</cp:lastPrinted>
  <dcterms:created xsi:type="dcterms:W3CDTF">2016-02-02T11:56:00Z</dcterms:created>
  <dcterms:modified xsi:type="dcterms:W3CDTF">2016-02-02T11:56:00Z</dcterms:modified>
</cp:coreProperties>
</file>