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38930" w14:textId="77777777" w:rsidR="00EC2C97" w:rsidRDefault="00EC2C97" w:rsidP="0084594D"/>
    <w:p w14:paraId="2508CED6" w14:textId="62F23E49" w:rsidR="00B1148D" w:rsidRPr="00CF13A9" w:rsidRDefault="00CA688E" w:rsidP="00DD0DD8">
      <w:pPr>
        <w:spacing w:after="120" w:line="240" w:lineRule="auto"/>
        <w:jc w:val="center"/>
        <w:rPr>
          <w:rFonts w:ascii="Arial" w:eastAsia="Times New Roman" w:hAnsi="Arial" w:cstheme="majorBidi"/>
          <w:b/>
          <w:bCs/>
          <w:color w:val="003399"/>
          <w:sz w:val="28"/>
          <w:szCs w:val="28"/>
        </w:rPr>
      </w:pPr>
      <w:r w:rsidRPr="00CF13A9">
        <w:rPr>
          <w:rFonts w:ascii="Arial" w:eastAsia="Times New Roman" w:hAnsi="Arial" w:cstheme="majorBidi"/>
          <w:b/>
          <w:bCs/>
          <w:color w:val="003399"/>
          <w:sz w:val="28"/>
          <w:szCs w:val="28"/>
        </w:rPr>
        <w:t>Metodika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CF13A9">
        <w:rPr>
          <w:rFonts w:ascii="Arial" w:eastAsia="Times New Roman" w:hAnsi="Arial" w:cstheme="majorBidi"/>
          <w:b/>
          <w:bCs/>
          <w:color w:val="003399"/>
          <w:sz w:val="28"/>
          <w:szCs w:val="28"/>
        </w:rPr>
        <w:t>hodnocení a výběru projektů</w:t>
      </w:r>
    </w:p>
    <w:p w14:paraId="5DF39B37" w14:textId="74990F96" w:rsidR="00B1148D" w:rsidRPr="00CF13A9" w:rsidRDefault="00B1148D" w:rsidP="00DD0DD8">
      <w:pPr>
        <w:spacing w:after="120" w:line="240" w:lineRule="auto"/>
        <w:jc w:val="center"/>
        <w:rPr>
          <w:rFonts w:ascii="Arial" w:eastAsia="Times New Roman" w:hAnsi="Arial" w:cstheme="majorBidi"/>
          <w:b/>
          <w:bCs/>
          <w:color w:val="003399"/>
          <w:sz w:val="28"/>
          <w:szCs w:val="28"/>
        </w:rPr>
      </w:pPr>
      <w:r w:rsidRPr="00CF13A9">
        <w:rPr>
          <w:rFonts w:ascii="Arial" w:eastAsia="Times New Roman" w:hAnsi="Arial" w:cstheme="majorBidi"/>
          <w:b/>
          <w:bCs/>
          <w:color w:val="003399"/>
          <w:sz w:val="28"/>
          <w:szCs w:val="28"/>
        </w:rPr>
        <w:t xml:space="preserve"> </w:t>
      </w:r>
      <w:r w:rsidR="000268FE" w:rsidRPr="00CF13A9">
        <w:rPr>
          <w:rFonts w:ascii="Arial" w:eastAsia="Times New Roman" w:hAnsi="Arial" w:cstheme="majorBidi"/>
          <w:b/>
          <w:bCs/>
          <w:color w:val="003399"/>
          <w:sz w:val="28"/>
          <w:szCs w:val="28"/>
        </w:rPr>
        <w:t>Podpora škol formou projektů zjednodušeného vykazování</w:t>
      </w:r>
    </w:p>
    <w:p w14:paraId="65968503" w14:textId="77777777" w:rsidR="00B1148D" w:rsidRPr="00CF13A9" w:rsidRDefault="00B1148D" w:rsidP="00CF13A9">
      <w:pPr>
        <w:spacing w:after="120" w:line="276" w:lineRule="auto"/>
        <w:contextualSpacing/>
        <w:jc w:val="both"/>
        <w:rPr>
          <w:rFonts w:ascii="Arial" w:eastAsia="Calibri" w:hAnsi="Arial" w:cs="Arial"/>
        </w:rPr>
      </w:pPr>
    </w:p>
    <w:p w14:paraId="5A79C3D7" w14:textId="77777777" w:rsidR="00B1148D" w:rsidRPr="00CF13A9" w:rsidRDefault="00B1148D" w:rsidP="00CF13A9">
      <w:pPr>
        <w:keepNext/>
        <w:keepLines/>
        <w:numPr>
          <w:ilvl w:val="0"/>
          <w:numId w:val="5"/>
        </w:numPr>
        <w:spacing w:after="120" w:line="276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</w:rPr>
      </w:pPr>
      <w:bookmarkStart w:id="0" w:name="_Toc413165487"/>
      <w:r w:rsidRPr="00CF13A9">
        <w:rPr>
          <w:rFonts w:ascii="Arial" w:eastAsia="Times New Roman" w:hAnsi="Arial" w:cs="Arial"/>
          <w:b/>
          <w:bCs/>
        </w:rPr>
        <w:t>Model hodnocení a typ výzvy</w:t>
      </w:r>
      <w:bookmarkEnd w:id="0"/>
    </w:p>
    <w:p w14:paraId="0C5B03B3" w14:textId="77777777" w:rsidR="00B1148D" w:rsidRPr="00CF13A9" w:rsidRDefault="00B1148D" w:rsidP="00CF13A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>průběžná výzva</w:t>
      </w:r>
    </w:p>
    <w:p w14:paraId="1AA98F6B" w14:textId="77777777" w:rsidR="00B1148D" w:rsidRPr="00CF13A9" w:rsidRDefault="00B1148D" w:rsidP="00CF13A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>jednokolový model hodnocení</w:t>
      </w:r>
    </w:p>
    <w:p w14:paraId="75EFC7D8" w14:textId="6BC8997B" w:rsidR="00B1148D" w:rsidRPr="00CF13A9" w:rsidRDefault="00B1148D" w:rsidP="00CF13A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 xml:space="preserve">proces schvalování projektů bude ukončen nejpozději do </w:t>
      </w:r>
      <w:r w:rsidR="00423788" w:rsidRPr="00CF13A9">
        <w:rPr>
          <w:rFonts w:ascii="Arial" w:eastAsia="Calibri" w:hAnsi="Arial" w:cs="Arial"/>
        </w:rPr>
        <w:t>5</w:t>
      </w:r>
      <w:r w:rsidRPr="00CF13A9">
        <w:rPr>
          <w:rFonts w:ascii="Arial" w:eastAsia="Calibri" w:hAnsi="Arial" w:cs="Arial"/>
        </w:rPr>
        <w:t xml:space="preserve"> měsíců od data </w:t>
      </w:r>
      <w:r w:rsidR="003E4216" w:rsidRPr="00CF13A9">
        <w:rPr>
          <w:rFonts w:ascii="Arial" w:eastAsia="Calibri" w:hAnsi="Arial" w:cs="Arial"/>
        </w:rPr>
        <w:t xml:space="preserve">podání </w:t>
      </w:r>
      <w:r w:rsidRPr="00CF13A9">
        <w:rPr>
          <w:rFonts w:ascii="Arial" w:eastAsia="Calibri" w:hAnsi="Arial" w:cs="Arial"/>
        </w:rPr>
        <w:t>žádosti o podporu</w:t>
      </w:r>
    </w:p>
    <w:p w14:paraId="75C6B373" w14:textId="0F20F2C5" w:rsidR="00B1148D" w:rsidRPr="00CF13A9" w:rsidRDefault="00B1148D" w:rsidP="00CF13A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>možnost podat žádost o podporu opakovaně v rámci výzvy</w:t>
      </w:r>
    </w:p>
    <w:p w14:paraId="4FD23113" w14:textId="77777777" w:rsidR="00B1148D" w:rsidRPr="00CF13A9" w:rsidRDefault="00B1148D" w:rsidP="00CF13A9">
      <w:pPr>
        <w:spacing w:before="240" w:after="120" w:line="276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CF13A9">
        <w:rPr>
          <w:rFonts w:ascii="Arial" w:eastAsia="Times New Roman" w:hAnsi="Arial" w:cs="Arial"/>
          <w:b/>
          <w:bCs/>
        </w:rPr>
        <w:t>Fáze procesu schvalování vč. dílčích lhůt</w:t>
      </w:r>
      <w:r w:rsidRPr="00CF13A9">
        <w:rPr>
          <w:rFonts w:ascii="Arial" w:eastAsia="Times New Roman" w:hAnsi="Arial" w:cs="Arial"/>
          <w:b/>
          <w:bCs/>
          <w:vertAlign w:val="superscript"/>
        </w:rPr>
        <w:footnoteReference w:id="1"/>
      </w:r>
      <w:r w:rsidRPr="00CF13A9">
        <w:rPr>
          <w:rFonts w:ascii="Arial" w:eastAsia="Times New Roman" w:hAnsi="Arial" w:cs="Arial"/>
          <w:b/>
          <w:bCs/>
        </w:rPr>
        <w:t xml:space="preserve"> (PD – pracovní den)</w:t>
      </w:r>
    </w:p>
    <w:p w14:paraId="4DB18283" w14:textId="77777777" w:rsidR="00B1148D" w:rsidRPr="00CF13A9" w:rsidRDefault="00B1148D" w:rsidP="00CF13A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cs-CZ"/>
        </w:rPr>
      </w:pPr>
      <w:r w:rsidRPr="00CF13A9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019C5459" wp14:editId="02C178CF">
            <wp:extent cx="5514975" cy="990600"/>
            <wp:effectExtent l="0" t="0" r="28575" b="1905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DE8C8E9" w14:textId="77777777" w:rsidR="00B1148D" w:rsidRPr="00CF13A9" w:rsidRDefault="00B1148D" w:rsidP="00CF13A9">
      <w:p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Arial" w:eastAsia="Times New Roman" w:hAnsi="Arial" w:cs="Arial"/>
          <w:lang w:eastAsia="cs-CZ"/>
        </w:rPr>
      </w:pPr>
      <w:r w:rsidRPr="00CF13A9">
        <w:rPr>
          <w:rFonts w:ascii="Arial" w:eastAsia="Times New Roman" w:hAnsi="Arial" w:cs="Arial"/>
          <w:lang w:eastAsia="cs-CZ"/>
        </w:rPr>
        <w:t xml:space="preserve">Více viz </w:t>
      </w:r>
      <w:r w:rsidRPr="00CF13A9">
        <w:rPr>
          <w:rFonts w:ascii="Arial" w:eastAsia="Calibri" w:hAnsi="Arial" w:cs="Arial"/>
          <w:lang w:eastAsia="cs-CZ"/>
        </w:rPr>
        <w:t>Pravidla pro žadatele a příjemce – specifická část.</w:t>
      </w:r>
    </w:p>
    <w:p w14:paraId="56706D02" w14:textId="77777777" w:rsidR="00B1148D" w:rsidRPr="00CF13A9" w:rsidRDefault="00B1148D" w:rsidP="00CF13A9">
      <w:pPr>
        <w:keepNext/>
        <w:keepLines/>
        <w:numPr>
          <w:ilvl w:val="0"/>
          <w:numId w:val="5"/>
        </w:numPr>
        <w:spacing w:before="240" w:after="120" w:line="276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</w:rPr>
      </w:pPr>
      <w:r w:rsidRPr="00CF13A9">
        <w:rPr>
          <w:rFonts w:ascii="Arial" w:eastAsia="Times New Roman" w:hAnsi="Arial" w:cs="Arial"/>
          <w:b/>
          <w:bCs/>
        </w:rPr>
        <w:t>Kontrola přijatelnosti a formálních náležitostí</w:t>
      </w:r>
    </w:p>
    <w:p w14:paraId="3212C1D1" w14:textId="5F73DF4E" w:rsidR="00B1148D" w:rsidRPr="00CF13A9" w:rsidRDefault="00CD73CB" w:rsidP="00CF13A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>Interní hodnotitelé.</w:t>
      </w:r>
    </w:p>
    <w:p w14:paraId="14A22B79" w14:textId="77777777" w:rsidR="00B1148D" w:rsidRPr="00CF13A9" w:rsidRDefault="00B1148D" w:rsidP="00CF13A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>Kritéria kontroly přijatelnosti a formálních náležitostí vč. popisu způsobu hodnocení jsou samostatnou přílohou výzvy.</w:t>
      </w:r>
    </w:p>
    <w:p w14:paraId="2C6A6B71" w14:textId="77777777" w:rsidR="00B1148D" w:rsidRPr="00CF13A9" w:rsidRDefault="00B1148D" w:rsidP="00CF13A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>Kritéria mají funkci vylučovací – jsou hodnocena formou ANO/NE, tzn. splněno/nesplněno (příp. pro daný projekt irelevantní).</w:t>
      </w:r>
    </w:p>
    <w:p w14:paraId="09A8A785" w14:textId="55DA0DEC" w:rsidR="00B1148D" w:rsidRPr="00CF13A9" w:rsidRDefault="00B1148D" w:rsidP="00CF13A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>Kritéria kontroly formálních náležitostí jsou opravitelná (tj. je možné doplnění ze strany žadatele v procesu schvalování na základě žádosti ŘO OP VVV o doplnění údajů) a neopravitelná (tj. nesplnění znamená vždy vyřazení z procesu schvalování bez možnosti doplnění ze strany žadatele).</w:t>
      </w:r>
    </w:p>
    <w:p w14:paraId="262F4826" w14:textId="77777777" w:rsidR="00B1148D" w:rsidRPr="00CF13A9" w:rsidRDefault="00B1148D" w:rsidP="00CF13A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>Kritéria kontroly přijatelnosti jsou vždy neopravitelná.</w:t>
      </w:r>
    </w:p>
    <w:p w14:paraId="7EEFA16F" w14:textId="77777777" w:rsidR="00B1148D" w:rsidRPr="00CF13A9" w:rsidRDefault="00B1148D" w:rsidP="00CF13A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="Calibri" w:hAnsi="Arial" w:cs="Arial"/>
        </w:rPr>
      </w:pPr>
      <w:r w:rsidRPr="00CF13A9">
        <w:rPr>
          <w:rFonts w:ascii="Arial" w:eastAsia="Calibri" w:hAnsi="Arial" w:cs="Arial"/>
        </w:rPr>
        <w:t>Při nesplnění některého z neopravitelných kritérií v rámci kontroly formálních náležitostí</w:t>
      </w:r>
      <w:bookmarkStart w:id="1" w:name="_GoBack"/>
      <w:bookmarkEnd w:id="1"/>
      <w:r w:rsidRPr="00CF13A9">
        <w:rPr>
          <w:rFonts w:ascii="Arial" w:eastAsia="Calibri" w:hAnsi="Arial" w:cs="Arial"/>
        </w:rPr>
        <w:t xml:space="preserve"> a/nebo některého z kritérií přijatelnosti je projekt vyřazen z dalšího procesu hodnocení.</w:t>
      </w:r>
    </w:p>
    <w:p w14:paraId="4A11120A" w14:textId="77777777" w:rsidR="00B1148D" w:rsidRPr="00CF13A9" w:rsidRDefault="00B1148D" w:rsidP="00CF13A9">
      <w:pPr>
        <w:autoSpaceDE w:val="0"/>
        <w:autoSpaceDN w:val="0"/>
        <w:adjustRightInd w:val="0"/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CF13A9">
        <w:rPr>
          <w:rFonts w:ascii="Arial" w:eastAsia="Times New Roman" w:hAnsi="Arial" w:cs="Arial"/>
          <w:lang w:eastAsia="cs-CZ"/>
        </w:rPr>
        <w:t xml:space="preserve">Více viz </w:t>
      </w:r>
      <w:r w:rsidRPr="00CF13A9">
        <w:rPr>
          <w:rFonts w:ascii="Arial" w:eastAsia="Calibri" w:hAnsi="Arial" w:cs="Arial"/>
          <w:lang w:eastAsia="cs-CZ"/>
        </w:rPr>
        <w:t>Pravidla pro žadatele a příjemce – specifická část.</w:t>
      </w:r>
    </w:p>
    <w:p w14:paraId="0BEDE712" w14:textId="77777777" w:rsidR="00B1148D" w:rsidRPr="00CF13A9" w:rsidRDefault="00B1148D" w:rsidP="00CF13A9">
      <w:pPr>
        <w:keepNext/>
        <w:keepLine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0C6646C" w14:textId="77777777" w:rsidR="00B1148D" w:rsidRPr="00CF13A9" w:rsidRDefault="00B1148D" w:rsidP="00CF13A9">
      <w:pPr>
        <w:keepNext/>
        <w:keepLines/>
        <w:numPr>
          <w:ilvl w:val="0"/>
          <w:numId w:val="5"/>
        </w:numPr>
        <w:spacing w:before="240" w:after="120" w:line="276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</w:rPr>
      </w:pPr>
      <w:bookmarkStart w:id="2" w:name="_Toc413165489"/>
      <w:r w:rsidRPr="00CF13A9">
        <w:rPr>
          <w:rFonts w:ascii="Arial" w:eastAsia="Times New Roman" w:hAnsi="Arial" w:cs="Arial"/>
          <w:b/>
          <w:bCs/>
        </w:rPr>
        <w:t>Věcné hodnocení</w:t>
      </w:r>
      <w:bookmarkEnd w:id="2"/>
    </w:p>
    <w:p w14:paraId="32933EB3" w14:textId="1501F618" w:rsidR="00B1148D" w:rsidRPr="00CF13A9" w:rsidRDefault="00B1148D" w:rsidP="00CF13A9">
      <w:pPr>
        <w:keepNext/>
        <w:keepLines/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F13A9">
        <w:rPr>
          <w:rFonts w:ascii="Arial" w:eastAsia="Times New Roman" w:hAnsi="Arial" w:cs="Arial"/>
          <w:lang w:eastAsia="cs-CZ"/>
        </w:rPr>
        <w:t>Nebude součástí procesu schvalování.</w:t>
      </w:r>
    </w:p>
    <w:p w14:paraId="074AAF98" w14:textId="77777777" w:rsidR="00EC0E61" w:rsidRPr="00CF13A9" w:rsidRDefault="00EC0E61" w:rsidP="00CF13A9">
      <w:pPr>
        <w:keepNext/>
        <w:keepLines/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D91532" w14:textId="77777777" w:rsidR="00B1148D" w:rsidRPr="00CF13A9" w:rsidRDefault="00B1148D" w:rsidP="00CF13A9">
      <w:pPr>
        <w:keepNext/>
        <w:keepLines/>
        <w:numPr>
          <w:ilvl w:val="0"/>
          <w:numId w:val="5"/>
        </w:numPr>
        <w:spacing w:before="240" w:after="120" w:line="276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</w:rPr>
      </w:pPr>
      <w:bookmarkStart w:id="3" w:name="_Toc413165490"/>
      <w:r w:rsidRPr="00CF13A9">
        <w:rPr>
          <w:rFonts w:ascii="Arial" w:eastAsia="Times New Roman" w:hAnsi="Arial" w:cs="Arial"/>
          <w:b/>
          <w:bCs/>
        </w:rPr>
        <w:t>Výběr projektů</w:t>
      </w:r>
      <w:bookmarkEnd w:id="3"/>
    </w:p>
    <w:p w14:paraId="040EF38A" w14:textId="77777777" w:rsidR="00B1148D" w:rsidRPr="00CF13A9" w:rsidRDefault="00B1148D" w:rsidP="00CF13A9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Arial" w:eastAsia="Calibri" w:hAnsi="Arial" w:cs="Arial"/>
          <w:lang w:eastAsia="cs-CZ"/>
        </w:rPr>
      </w:pPr>
      <w:r w:rsidRPr="00CF13A9">
        <w:rPr>
          <w:rFonts w:ascii="Arial" w:eastAsia="Calibri" w:hAnsi="Arial" w:cs="Arial"/>
          <w:lang w:eastAsia="cs-CZ"/>
        </w:rPr>
        <w:t>Nebude součástí procesu schvalování.</w:t>
      </w:r>
    </w:p>
    <w:p w14:paraId="4CA1967A" w14:textId="77777777" w:rsidR="00B1148D" w:rsidRPr="00CF13A9" w:rsidRDefault="00B1148D" w:rsidP="00CF13A9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E1699A3" w14:textId="77777777" w:rsidR="00B1148D" w:rsidRPr="00CF13A9" w:rsidRDefault="00B1148D" w:rsidP="00CF13A9">
      <w:pPr>
        <w:keepNext/>
        <w:keepLines/>
        <w:numPr>
          <w:ilvl w:val="0"/>
          <w:numId w:val="5"/>
        </w:numPr>
        <w:spacing w:after="120" w:line="276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</w:rPr>
      </w:pPr>
      <w:bookmarkStart w:id="4" w:name="_Toc413165491"/>
      <w:r w:rsidRPr="00CF13A9">
        <w:rPr>
          <w:rFonts w:ascii="Arial" w:eastAsia="Times New Roman" w:hAnsi="Arial" w:cs="Arial"/>
          <w:b/>
          <w:bCs/>
        </w:rPr>
        <w:t xml:space="preserve">Způsob oznámení výsledků procesu schvalování </w:t>
      </w:r>
      <w:bookmarkStart w:id="5" w:name="_Toc412654943"/>
      <w:bookmarkStart w:id="6" w:name="_Toc412651093"/>
      <w:bookmarkStart w:id="7" w:name="_Toc412649882"/>
      <w:bookmarkStart w:id="8" w:name="_Toc412649324"/>
      <w:bookmarkStart w:id="9" w:name="_Toc412645754"/>
      <w:bookmarkStart w:id="10" w:name="_Toc412639917"/>
      <w:bookmarkStart w:id="11" w:name="_Toc412639724"/>
      <w:bookmarkStart w:id="12" w:name="_Toc412627535"/>
      <w:bookmarkStart w:id="13" w:name="_Toc409202256"/>
      <w:bookmarkStart w:id="14" w:name="_Toc409201500"/>
      <w:r w:rsidRPr="00CF13A9">
        <w:rPr>
          <w:rFonts w:ascii="Arial" w:eastAsia="Times New Roman" w:hAnsi="Arial" w:cs="Arial"/>
          <w:b/>
          <w:bCs/>
        </w:rPr>
        <w:t>žadateli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41101D1" w14:textId="77777777" w:rsidR="00B1148D" w:rsidRPr="00CF13A9" w:rsidRDefault="00B1148D" w:rsidP="00CF13A9">
      <w:p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Arial" w:eastAsia="Times New Roman" w:hAnsi="Arial" w:cs="Arial"/>
          <w:lang w:eastAsia="cs-CZ"/>
        </w:rPr>
      </w:pPr>
      <w:r w:rsidRPr="00CF13A9">
        <w:rPr>
          <w:rFonts w:ascii="Arial" w:eastAsia="Calibri" w:hAnsi="Arial" w:cs="Arial"/>
          <w:lang w:eastAsia="cs-CZ"/>
        </w:rPr>
        <w:t>Viz Pravidla pro žadatele a příjemce – specifická část.</w:t>
      </w:r>
    </w:p>
    <w:p w14:paraId="4B7F95A7" w14:textId="77777777" w:rsidR="00B1148D" w:rsidRPr="00CF13A9" w:rsidRDefault="00B1148D" w:rsidP="00CF13A9">
      <w:pPr>
        <w:spacing w:before="100" w:beforeAutospacing="1" w:after="120" w:line="276" w:lineRule="auto"/>
        <w:jc w:val="both"/>
        <w:rPr>
          <w:rFonts w:ascii="Arial" w:eastAsia="Times New Roman" w:hAnsi="Arial" w:cs="Arial"/>
          <w:lang w:eastAsia="cs-CZ"/>
        </w:rPr>
      </w:pPr>
    </w:p>
    <w:p w14:paraId="789D02B4" w14:textId="77777777" w:rsidR="00B1148D" w:rsidRPr="00CF13A9" w:rsidRDefault="00B1148D" w:rsidP="00CF13A9">
      <w:pPr>
        <w:keepNext/>
        <w:keepLines/>
        <w:numPr>
          <w:ilvl w:val="0"/>
          <w:numId w:val="5"/>
        </w:numPr>
        <w:spacing w:after="120" w:line="276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</w:rPr>
      </w:pPr>
      <w:r w:rsidRPr="00CF13A9">
        <w:rPr>
          <w:rFonts w:ascii="Arial" w:eastAsia="Times New Roman" w:hAnsi="Arial" w:cs="Arial"/>
          <w:b/>
          <w:bCs/>
        </w:rPr>
        <w:t>Vydání právního aktu</w:t>
      </w:r>
    </w:p>
    <w:p w14:paraId="3A7DA7D4" w14:textId="77777777" w:rsidR="00B1148D" w:rsidRPr="00CF13A9" w:rsidRDefault="00B1148D" w:rsidP="00CF13A9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F13A9">
        <w:rPr>
          <w:rFonts w:ascii="Arial" w:eastAsia="Calibri" w:hAnsi="Arial" w:cs="Arial"/>
          <w:lang w:eastAsia="cs-CZ"/>
        </w:rPr>
        <w:t>Viz Pravidla pro žadatele a příjemce – specifická část.</w:t>
      </w:r>
    </w:p>
    <w:p w14:paraId="0E909ED5" w14:textId="77777777" w:rsidR="00B1148D" w:rsidRPr="00CF13A9" w:rsidRDefault="00B1148D" w:rsidP="00CF13A9">
      <w:pPr>
        <w:jc w:val="both"/>
        <w:rPr>
          <w:rFonts w:ascii="Arial" w:hAnsi="Arial" w:cs="Arial"/>
        </w:rPr>
      </w:pPr>
    </w:p>
    <w:sectPr w:rsidR="00B1148D" w:rsidRPr="00CF13A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9A1E2" w14:textId="77777777" w:rsidR="004277B4" w:rsidRDefault="004277B4" w:rsidP="003E5669">
      <w:pPr>
        <w:spacing w:after="0" w:line="240" w:lineRule="auto"/>
      </w:pPr>
      <w:r>
        <w:separator/>
      </w:r>
    </w:p>
  </w:endnote>
  <w:endnote w:type="continuationSeparator" w:id="0">
    <w:p w14:paraId="62622C4F" w14:textId="77777777" w:rsidR="004277B4" w:rsidRDefault="004277B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D8ABF50" w:rsidR="00A32B38" w:rsidRDefault="00CF13A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3632" behindDoc="0" locked="0" layoutInCell="1" allowOverlap="1" wp14:anchorId="1088317C" wp14:editId="42DEA51C">
              <wp:simplePos x="0" y="0"/>
              <wp:positionH relativeFrom="column">
                <wp:posOffset>564543</wp:posOffset>
              </wp:positionH>
              <wp:positionV relativeFrom="paragraph">
                <wp:posOffset>-174514</wp:posOffset>
              </wp:positionV>
              <wp:extent cx="4610100" cy="1028700"/>
              <wp:effectExtent l="0" t="0" r="0" b="0"/>
              <wp:wrapSquare wrapText="bothSides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70566">
          <w:rPr>
            <w:noProof/>
          </w:rPr>
          <w:t>1</w:t>
        </w:r>
        <w:r w:rsidR="00A32B38">
          <w:fldChar w:fldCharType="end"/>
        </w:r>
      </w:p>
    </w:sdtContent>
  </w:sdt>
  <w:p w14:paraId="29E864B6" w14:textId="7E19C440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BDAB" w14:textId="77777777" w:rsidR="004277B4" w:rsidRDefault="004277B4" w:rsidP="003E5669">
      <w:pPr>
        <w:spacing w:after="0" w:line="240" w:lineRule="auto"/>
      </w:pPr>
      <w:r>
        <w:separator/>
      </w:r>
    </w:p>
  </w:footnote>
  <w:footnote w:type="continuationSeparator" w:id="0">
    <w:p w14:paraId="5A4E38EE" w14:textId="77777777" w:rsidR="004277B4" w:rsidRDefault="004277B4" w:rsidP="003E5669">
      <w:pPr>
        <w:spacing w:after="0" w:line="240" w:lineRule="auto"/>
      </w:pPr>
      <w:r>
        <w:continuationSeparator/>
      </w:r>
    </w:p>
  </w:footnote>
  <w:footnote w:id="1">
    <w:p w14:paraId="6F2508EC" w14:textId="77777777" w:rsidR="00B1148D" w:rsidRDefault="00B1148D" w:rsidP="00B1148D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C10F71">
        <w:rPr>
          <w:rFonts w:ascii="Times New Roman" w:hAnsi="Times New Roman"/>
        </w:rPr>
        <w:t>dílčí lhůty jsou orientační</w:t>
      </w:r>
    </w:p>
    <w:p w14:paraId="436253E1" w14:textId="77777777" w:rsidR="00751D3F" w:rsidRPr="00C10F71" w:rsidRDefault="00751D3F" w:rsidP="00B1148D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A8A3" w14:textId="52FB43BC" w:rsidR="00EB3E98" w:rsidRPr="00CF13A9" w:rsidRDefault="00CF13A9" w:rsidP="00E70B97">
    <w:pPr>
      <w:pStyle w:val="Zhlav"/>
      <w:rPr>
        <w:rFonts w:ascii="Arial" w:hAnsi="Arial" w:cs="Arial"/>
        <w:sz w:val="20"/>
      </w:rPr>
    </w:pPr>
    <w:r w:rsidRPr="00CF13A9">
      <w:rPr>
        <w:rFonts w:ascii="Arial" w:hAnsi="Arial" w:cs="Arial"/>
        <w:noProof/>
        <w:sz w:val="20"/>
        <w:lang w:eastAsia="cs-CZ"/>
      </w:rPr>
      <w:drawing>
        <wp:anchor distT="0" distB="0" distL="114300" distR="114300" simplePos="0" relativeHeight="251663872" behindDoc="0" locked="0" layoutInCell="1" allowOverlap="1" wp14:anchorId="0C625280" wp14:editId="16854CA7">
          <wp:simplePos x="0" y="0"/>
          <wp:positionH relativeFrom="page">
            <wp:posOffset>239837</wp:posOffset>
          </wp:positionH>
          <wp:positionV relativeFrom="topMargin">
            <wp:posOffset>112395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10D6A" w14:textId="77777777" w:rsidR="00D70566" w:rsidRDefault="00D70566" w:rsidP="00CF13A9">
    <w:pPr>
      <w:pStyle w:val="Zhlav"/>
      <w:jc w:val="center"/>
      <w:rPr>
        <w:rFonts w:ascii="Arial" w:hAnsi="Arial" w:cs="Arial"/>
        <w:i/>
        <w:sz w:val="20"/>
      </w:rPr>
    </w:pPr>
  </w:p>
  <w:p w14:paraId="77A2F8B4" w14:textId="6379C1EB" w:rsidR="00EB3E98" w:rsidRPr="00CF13A9" w:rsidRDefault="00EB3E98" w:rsidP="00CF13A9">
    <w:pPr>
      <w:pStyle w:val="Zhlav"/>
      <w:jc w:val="center"/>
      <w:rPr>
        <w:rFonts w:ascii="Arial" w:hAnsi="Arial" w:cs="Arial"/>
        <w:i/>
        <w:sz w:val="20"/>
      </w:rPr>
    </w:pPr>
    <w:r w:rsidRPr="00CF13A9">
      <w:rPr>
        <w:rFonts w:ascii="Arial" w:hAnsi="Arial" w:cs="Arial"/>
        <w:i/>
        <w:sz w:val="20"/>
      </w:rPr>
      <w:t>Podkladový materiál pro jednání 4. MV OP VVV č. 2.2.3.</w:t>
    </w:r>
  </w:p>
  <w:p w14:paraId="647A9938" w14:textId="00F412DF" w:rsidR="003E5669" w:rsidRPr="00E70B97" w:rsidRDefault="003E5669" w:rsidP="00E70B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75B"/>
    <w:multiLevelType w:val="multilevel"/>
    <w:tmpl w:val="F9D28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26599"/>
    <w:rsid w:val="000268FE"/>
    <w:rsid w:val="00056FD7"/>
    <w:rsid w:val="000B62E9"/>
    <w:rsid w:val="000D4163"/>
    <w:rsid w:val="000E30BE"/>
    <w:rsid w:val="000F2824"/>
    <w:rsid w:val="00127380"/>
    <w:rsid w:val="001A5E39"/>
    <w:rsid w:val="002B678E"/>
    <w:rsid w:val="002C674B"/>
    <w:rsid w:val="002F4C35"/>
    <w:rsid w:val="003D6FB8"/>
    <w:rsid w:val="003E4216"/>
    <w:rsid w:val="003E5669"/>
    <w:rsid w:val="00423788"/>
    <w:rsid w:val="004277B4"/>
    <w:rsid w:val="004E4B16"/>
    <w:rsid w:val="00541F65"/>
    <w:rsid w:val="005A6C33"/>
    <w:rsid w:val="005A6F6A"/>
    <w:rsid w:val="005E2A78"/>
    <w:rsid w:val="005F25CF"/>
    <w:rsid w:val="0066177C"/>
    <w:rsid w:val="006A59EA"/>
    <w:rsid w:val="00735AB8"/>
    <w:rsid w:val="00751D3F"/>
    <w:rsid w:val="00756909"/>
    <w:rsid w:val="00790F1F"/>
    <w:rsid w:val="0084594D"/>
    <w:rsid w:val="008675C3"/>
    <w:rsid w:val="00971157"/>
    <w:rsid w:val="009A052C"/>
    <w:rsid w:val="00A32B38"/>
    <w:rsid w:val="00A36A64"/>
    <w:rsid w:val="00A507D0"/>
    <w:rsid w:val="00A970EA"/>
    <w:rsid w:val="00AA5EEC"/>
    <w:rsid w:val="00B0591C"/>
    <w:rsid w:val="00B1148D"/>
    <w:rsid w:val="00B46755"/>
    <w:rsid w:val="00B75EB7"/>
    <w:rsid w:val="00B8645C"/>
    <w:rsid w:val="00BC1D13"/>
    <w:rsid w:val="00C03D71"/>
    <w:rsid w:val="00C37E06"/>
    <w:rsid w:val="00C46F61"/>
    <w:rsid w:val="00C6334D"/>
    <w:rsid w:val="00C908BD"/>
    <w:rsid w:val="00CA688E"/>
    <w:rsid w:val="00CD73CB"/>
    <w:rsid w:val="00CF0DCE"/>
    <w:rsid w:val="00CF13A9"/>
    <w:rsid w:val="00D2628B"/>
    <w:rsid w:val="00D60019"/>
    <w:rsid w:val="00D70566"/>
    <w:rsid w:val="00DA1486"/>
    <w:rsid w:val="00DD0DD8"/>
    <w:rsid w:val="00DD4F17"/>
    <w:rsid w:val="00DD7BD3"/>
    <w:rsid w:val="00E1672C"/>
    <w:rsid w:val="00E70B97"/>
    <w:rsid w:val="00E96ACC"/>
    <w:rsid w:val="00EA7354"/>
    <w:rsid w:val="00EB3E98"/>
    <w:rsid w:val="00EC0E61"/>
    <w:rsid w:val="00EC2C97"/>
    <w:rsid w:val="00ED0DE1"/>
    <w:rsid w:val="00F07CF2"/>
    <w:rsid w:val="00F1766B"/>
    <w:rsid w:val="00F364AA"/>
    <w:rsid w:val="00F476FD"/>
    <w:rsid w:val="00F57A82"/>
    <w:rsid w:val="00F71862"/>
    <w:rsid w:val="00FA446E"/>
    <w:rsid w:val="00FA7B8C"/>
    <w:rsid w:val="00FB484A"/>
    <w:rsid w:val="00FD549D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1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11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14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148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unhideWhenUsed/>
    <w:rsid w:val="00B11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96A17B0-8596-4BFB-8B84-ECE29E7639A4}">
      <dgm:prSet custT="1"/>
      <dgm:spPr>
        <a:xfrm rot="10800000">
          <a:off x="0" y="0"/>
          <a:ext cx="5514975" cy="60331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cs-CZ" sz="11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interní hodnotitelé - kontrola přijatelnosti a formálních náležitostí			30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/>
      <dgm:spPr>
        <a:xfrm>
          <a:off x="0" y="597879"/>
          <a:ext cx="5514975" cy="39227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2"/>
      <dgm:spPr>
        <a:prstGeom prst="rect">
          <a:avLst/>
        </a:prstGeom>
      </dgm:spPr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1" presStyleCnt="2" custLinFactNeighborX="-577" custLinFactNeighborY="-1392"/>
      <dgm:spPr>
        <a:prstGeom prst="upArrowCallout">
          <a:avLst/>
        </a:prstGeom>
      </dgm:spPr>
      <dgm:t>
        <a:bodyPr/>
        <a:lstStyle/>
        <a:p>
          <a:endParaRPr lang="cs-CZ"/>
        </a:p>
      </dgm:t>
    </dgm:pt>
  </dgm:ptLst>
  <dgm:cxnLst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E32C373E-1417-4D2B-A196-8DDEC3841A87}" type="presOf" srcId="{5AD3148C-2A54-4C8B-9B7B-C95D86678B33}" destId="{E132FBB0-9C06-437A-9998-B0F799548075}" srcOrd="0" destOrd="0" presId="urn:microsoft.com/office/officeart/2005/8/layout/process4"/>
    <dgm:cxn modelId="{CBB3B433-49A7-43EB-B564-2AFF7B492F99}" type="presOf" srcId="{896A17B0-8596-4BFB-8B84-ECE29E7639A4}" destId="{09C75F5D-0907-4A4C-BF4D-58748BDB3A45}" srcOrd="0" destOrd="0" presId="urn:microsoft.com/office/officeart/2005/8/layout/process4"/>
    <dgm:cxn modelId="{6B2A17A1-8717-4D7C-B587-4037268A93A2}" srcId="{542BC7B9-EAE8-4C44-B6A4-D80796CF30EE}" destId="{5AD3148C-2A54-4C8B-9B7B-C95D86678B33}" srcOrd="1" destOrd="0" parTransId="{222702D8-79C1-482C-8CD0-54738C965EAF}" sibTransId="{0B7A53D6-8309-45E0-8185-87B0867A211B}"/>
    <dgm:cxn modelId="{ED9BAA1D-D223-44C8-9878-7F99D2F37367}" type="presOf" srcId="{542BC7B9-EAE8-4C44-B6A4-D80796CF30EE}" destId="{9DB8A18E-EC49-4D9A-8F4A-F94F56067E19}" srcOrd="0" destOrd="0" presId="urn:microsoft.com/office/officeart/2005/8/layout/process4"/>
    <dgm:cxn modelId="{CF3A4693-921D-4583-BC03-213F8BF86099}" type="presParOf" srcId="{9DB8A18E-EC49-4D9A-8F4A-F94F56067E19}" destId="{455E92B8-206D-465F-A9ED-55C5D0EBBAA9}" srcOrd="0" destOrd="0" presId="urn:microsoft.com/office/officeart/2005/8/layout/process4"/>
    <dgm:cxn modelId="{91EC1CDE-DB90-43CB-AD90-75B399282382}" type="presParOf" srcId="{455E92B8-206D-465F-A9ED-55C5D0EBBAA9}" destId="{E132FBB0-9C06-437A-9998-B0F799548075}" srcOrd="0" destOrd="0" presId="urn:microsoft.com/office/officeart/2005/8/layout/process4"/>
    <dgm:cxn modelId="{E110E450-603D-49DA-82CE-5E4BA44010BB}" type="presParOf" srcId="{9DB8A18E-EC49-4D9A-8F4A-F94F56067E19}" destId="{BD80E96C-8DF8-41A6-AED5-95E6E4E0A5C5}" srcOrd="1" destOrd="0" presId="urn:microsoft.com/office/officeart/2005/8/layout/process4"/>
    <dgm:cxn modelId="{A85185BA-D8FA-47CC-AC3B-BDDA6E66855B}" type="presParOf" srcId="{9DB8A18E-EC49-4D9A-8F4A-F94F56067E19}" destId="{1EA6AA60-08C9-4887-8F4B-E40C7DC52824}" srcOrd="2" destOrd="0" presId="urn:microsoft.com/office/officeart/2005/8/layout/process4"/>
    <dgm:cxn modelId="{204E8CC1-F8A4-4B65-B63C-AD36E955DFD0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597879"/>
          <a:ext cx="5514975" cy="39227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sp:txBody>
      <dsp:txXfrm>
        <a:off x="0" y="597879"/>
        <a:ext cx="5514975" cy="392273"/>
      </dsp:txXfrm>
    </dsp:sp>
    <dsp:sp modelId="{09C75F5D-0907-4A4C-BF4D-58748BDB3A45}">
      <dsp:nvSpPr>
        <dsp:cNvPr id="0" name=""/>
        <dsp:cNvSpPr/>
      </dsp:nvSpPr>
      <dsp:spPr>
        <a:xfrm rot="10800000">
          <a:off x="0" y="0"/>
          <a:ext cx="5514975" cy="603316"/>
        </a:xfrm>
        <a:prstGeom prst="upArrowCallou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interní hodnotitelé - kontrola přijatelnosti a formálních náležitostí			30 PD</a:t>
          </a:r>
        </a:p>
      </dsp:txBody>
      <dsp:txXfrm rot="10800000">
        <a:off x="0" y="0"/>
        <a:ext cx="5514975" cy="392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15OPMSMT0001-28-19290</_dlc_DocId>
    <_dlc_DocIdUrl xmlns="0104a4cd-1400-468e-be1b-c7aad71d7d5a">
      <Url>http://op.msmt.cz/_layouts/15/DocIdRedir.aspx?ID=15OPMSMT0001-28-19290</Url>
      <Description>15OPMSMT0001-28-19290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1A075548-F98C-455B-844B-A0031C8BDF29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7193770B-88F1-4CA5-BADB-1D906AF1A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Tauferová Irena</cp:lastModifiedBy>
  <cp:revision>6</cp:revision>
  <cp:lastPrinted>2016-02-18T15:21:00Z</cp:lastPrinted>
  <dcterms:created xsi:type="dcterms:W3CDTF">2016-02-01T12:11:00Z</dcterms:created>
  <dcterms:modified xsi:type="dcterms:W3CDTF">2016-02-18T15:21:00Z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a90f0a94-403e-4efb-97bc-c4072b2147be</vt:lpwstr>
  </property>
  <property fmtid="{D5CDD505-2E9C-101B-9397-08002B2CF9AE}" pid="4" name="Komentář">
    <vt:lpwstr>předepsané písmo Arial</vt:lpwstr>
  </property>
</Properties>
</file>