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D2A5" w14:textId="0D3B3B51" w:rsidR="00001FA8" w:rsidRPr="00001FA8" w:rsidRDefault="00CF609A" w:rsidP="00D2299C">
      <w:pPr>
        <w:jc w:val="center"/>
        <w:rPr>
          <w:rFonts w:ascii="Arial" w:eastAsia="Arial" w:hAnsi="Arial" w:cs="Arial"/>
          <w:b/>
          <w:color w:val="003399"/>
          <w:sz w:val="28"/>
          <w:szCs w:val="28"/>
        </w:rPr>
      </w:pPr>
      <w:bookmarkStart w:id="0" w:name="_GoBack"/>
      <w:bookmarkEnd w:id="0"/>
      <w:r w:rsidRPr="00CF609A">
        <w:rPr>
          <w:rFonts w:ascii="Arial" w:eastAsia="Arial" w:hAnsi="Arial" w:cs="Arial"/>
          <w:b/>
          <w:color w:val="003399"/>
          <w:sz w:val="28"/>
          <w:szCs w:val="28"/>
        </w:rPr>
        <w:t>Podklad pro aplikaci čl. 70 Obecného nařízení k výzvě Strategické řízení VaVaI na národní úrovni</w:t>
      </w:r>
    </w:p>
    <w:p w14:paraId="0066845D" w14:textId="17DE78DA" w:rsidR="00CF609A" w:rsidRPr="00CF609A" w:rsidRDefault="00CF609A" w:rsidP="00CF609A">
      <w:pPr>
        <w:spacing w:line="276" w:lineRule="auto"/>
        <w:jc w:val="both"/>
        <w:rPr>
          <w:rFonts w:ascii="Arial" w:hAnsi="Arial" w:cs="Arial"/>
        </w:rPr>
      </w:pPr>
      <w:r w:rsidRPr="00CF609A">
        <w:rPr>
          <w:rFonts w:ascii="Arial" w:hAnsi="Arial" w:cs="Arial"/>
        </w:rPr>
        <w:t xml:space="preserve">Problematika čl. 70 </w:t>
      </w:r>
      <w:r w:rsidR="00710BD4">
        <w:rPr>
          <w:rFonts w:ascii="Arial" w:hAnsi="Arial" w:cs="Arial"/>
        </w:rPr>
        <w:t>Obecného nařízení</w:t>
      </w:r>
      <w:r w:rsidRPr="00CF609A">
        <w:rPr>
          <w:rFonts w:ascii="Arial" w:hAnsi="Arial" w:cs="Arial"/>
        </w:rPr>
        <w:t xml:space="preserve"> je velmi komplikovaná, neexistuje finální verze quide EK, daná problematika je se zástupci EK průběžně konzultována, zástupci MV budou o</w:t>
      </w:r>
      <w:r w:rsidR="00710BD4">
        <w:rPr>
          <w:rFonts w:ascii="Arial" w:hAnsi="Arial" w:cs="Arial"/>
        </w:rPr>
        <w:t> </w:t>
      </w:r>
      <w:r w:rsidRPr="00CF609A">
        <w:rPr>
          <w:rFonts w:ascii="Arial" w:hAnsi="Arial" w:cs="Arial"/>
        </w:rPr>
        <w:t>případném vývoji informování na zasedání MV</w:t>
      </w:r>
      <w:r>
        <w:rPr>
          <w:rFonts w:ascii="Arial" w:hAnsi="Arial" w:cs="Arial"/>
        </w:rPr>
        <w:t>.</w:t>
      </w:r>
    </w:p>
    <w:p w14:paraId="77F09D41" w14:textId="4E4E27F0" w:rsidR="00CF609A" w:rsidRPr="00710BD4" w:rsidRDefault="00710BD4" w:rsidP="00CF609A">
      <w:pPr>
        <w:pStyle w:val="CM4"/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BD4">
        <w:rPr>
          <w:rFonts w:ascii="Arial" w:hAnsi="Arial" w:cs="Arial"/>
          <w:sz w:val="22"/>
          <w:szCs w:val="22"/>
        </w:rPr>
        <w:t>Čl</w:t>
      </w:r>
      <w:r w:rsidR="00CF609A" w:rsidRPr="00710BD4">
        <w:rPr>
          <w:rFonts w:ascii="Arial" w:hAnsi="Arial" w:cs="Arial"/>
          <w:sz w:val="22"/>
          <w:szCs w:val="22"/>
        </w:rPr>
        <w:t xml:space="preserve">. 70 Obecného nařízení řeší </w:t>
      </w:r>
      <w:r w:rsidRPr="00710BD4">
        <w:rPr>
          <w:rFonts w:ascii="Arial" w:hAnsi="Arial" w:cs="Arial"/>
          <w:sz w:val="22"/>
          <w:szCs w:val="22"/>
        </w:rPr>
        <w:t>z</w:t>
      </w:r>
      <w:r w:rsidR="00CF609A" w:rsidRPr="00710BD4">
        <w:rPr>
          <w:rFonts w:ascii="Arial" w:hAnsi="Arial" w:cs="Arial"/>
          <w:sz w:val="22"/>
          <w:szCs w:val="22"/>
        </w:rPr>
        <w:t>působilost operací podle místa</w:t>
      </w:r>
      <w:r w:rsidRPr="00710BD4">
        <w:rPr>
          <w:rFonts w:ascii="Arial" w:hAnsi="Arial" w:cs="Arial"/>
          <w:sz w:val="22"/>
          <w:szCs w:val="22"/>
        </w:rPr>
        <w:t xml:space="preserve"> provádění</w:t>
      </w:r>
      <w:r w:rsidR="00CF609A" w:rsidRPr="00710BD4">
        <w:rPr>
          <w:rFonts w:ascii="Arial" w:hAnsi="Arial" w:cs="Arial"/>
          <w:sz w:val="22"/>
          <w:szCs w:val="22"/>
        </w:rPr>
        <w:t xml:space="preserve">. Článek obsahuje možnost </w:t>
      </w:r>
      <w:r w:rsidRPr="00710BD4">
        <w:rPr>
          <w:rFonts w:ascii="Arial" w:hAnsi="Arial" w:cs="Arial"/>
          <w:sz w:val="22"/>
          <w:szCs w:val="22"/>
        </w:rPr>
        <w:t>realizovat</w:t>
      </w:r>
      <w:r w:rsidR="00CF609A" w:rsidRPr="00710BD4">
        <w:rPr>
          <w:rFonts w:ascii="Arial" w:hAnsi="Arial" w:cs="Arial"/>
          <w:sz w:val="22"/>
          <w:szCs w:val="22"/>
        </w:rPr>
        <w:t xml:space="preserve"> projekt i mimo programovou oblast</w:t>
      </w:r>
      <w:r w:rsidRPr="00710BD4">
        <w:rPr>
          <w:rFonts w:ascii="Arial" w:hAnsi="Arial" w:cs="Arial"/>
          <w:sz w:val="22"/>
          <w:szCs w:val="22"/>
        </w:rPr>
        <w:t>.</w:t>
      </w:r>
    </w:p>
    <w:p w14:paraId="64CDACAA" w14:textId="275EFFC6" w:rsidR="00CF609A" w:rsidRPr="00710BD4" w:rsidRDefault="00CF609A" w:rsidP="00CF609A">
      <w:pPr>
        <w:pStyle w:val="Normlnweb"/>
        <w:spacing w:before="120" w:beforeAutospacing="0" w:after="0" w:afterAutospacing="0"/>
        <w:ind w:right="119"/>
        <w:jc w:val="both"/>
        <w:rPr>
          <w:rFonts w:ascii="Arial" w:hAnsi="Arial" w:cs="Arial"/>
          <w:b/>
          <w:bCs/>
          <w:sz w:val="22"/>
          <w:szCs w:val="22"/>
        </w:rPr>
      </w:pPr>
      <w:r w:rsidRPr="00710BD4">
        <w:rPr>
          <w:rFonts w:ascii="Arial" w:hAnsi="Arial" w:cs="Arial"/>
          <w:b/>
          <w:bCs/>
          <w:sz w:val="22"/>
          <w:szCs w:val="22"/>
        </w:rPr>
        <w:t>V případě výzvy Strategické řízení VaVaI na národní úrovni se jedná o realizaci projektů na území celé České republiky.</w:t>
      </w:r>
    </w:p>
    <w:p w14:paraId="4165ED1E" w14:textId="77777777" w:rsidR="00CF609A" w:rsidRPr="00710BD4" w:rsidRDefault="00CF609A" w:rsidP="00CF609A">
      <w:pPr>
        <w:pStyle w:val="CM4"/>
        <w:spacing w:before="60" w:after="6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7E467F4C" w14:textId="7D00F016" w:rsidR="00CF609A" w:rsidRPr="00710BD4" w:rsidRDefault="00CF609A" w:rsidP="00CF609A">
      <w:pPr>
        <w:pStyle w:val="CM4"/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10BD4">
        <w:rPr>
          <w:rFonts w:ascii="Arial" w:hAnsi="Arial" w:cs="Arial"/>
          <w:sz w:val="22"/>
          <w:szCs w:val="22"/>
        </w:rPr>
        <w:t>Čl. 70 Obecného nařízení, odstavcem 2 je umožněno</w:t>
      </w:r>
      <w:r w:rsidR="00710BD4" w:rsidRPr="00710BD4">
        <w:rPr>
          <w:rFonts w:ascii="Arial" w:hAnsi="Arial" w:cs="Arial"/>
          <w:sz w:val="22"/>
          <w:szCs w:val="22"/>
        </w:rPr>
        <w:t>, aby Řídicí orgán připustil</w:t>
      </w:r>
      <w:r w:rsidRPr="00710BD4">
        <w:rPr>
          <w:rFonts w:ascii="Arial" w:hAnsi="Arial" w:cs="Arial"/>
          <w:sz w:val="22"/>
          <w:szCs w:val="22"/>
        </w:rPr>
        <w:t xml:space="preserve"> provádě</w:t>
      </w:r>
      <w:r w:rsidR="00710BD4" w:rsidRPr="00710BD4">
        <w:rPr>
          <w:rFonts w:ascii="Arial" w:hAnsi="Arial" w:cs="Arial"/>
          <w:sz w:val="22"/>
          <w:szCs w:val="22"/>
        </w:rPr>
        <w:t>ní</w:t>
      </w:r>
      <w:r w:rsidRPr="00710BD4">
        <w:rPr>
          <w:rFonts w:ascii="Arial" w:hAnsi="Arial" w:cs="Arial"/>
          <w:sz w:val="22"/>
          <w:szCs w:val="22"/>
        </w:rPr>
        <w:t xml:space="preserve"> operace i mimo programovou oblast, ale pouze v rámci Unie, za splnění níže uvedených podmínek:</w:t>
      </w:r>
    </w:p>
    <w:p w14:paraId="718E79EC" w14:textId="77777777" w:rsidR="00CF609A" w:rsidRPr="00710BD4" w:rsidRDefault="00CF609A" w:rsidP="00CF609A">
      <w:pPr>
        <w:pStyle w:val="CM4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10BD4">
        <w:rPr>
          <w:rFonts w:ascii="Arial" w:hAnsi="Arial" w:cs="Arial"/>
          <w:sz w:val="22"/>
          <w:szCs w:val="22"/>
        </w:rPr>
        <w:t xml:space="preserve">operace je ve prospěch programové oblasti; </w:t>
      </w:r>
    </w:p>
    <w:p w14:paraId="01E8418F" w14:textId="77777777" w:rsidR="00CF609A" w:rsidRPr="00710BD4" w:rsidRDefault="00CF609A" w:rsidP="00CF609A">
      <w:pPr>
        <w:pStyle w:val="CM4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10BD4">
        <w:rPr>
          <w:rFonts w:ascii="Arial" w:hAnsi="Arial" w:cs="Arial"/>
          <w:sz w:val="22"/>
          <w:szCs w:val="22"/>
        </w:rPr>
        <w:t xml:space="preserve">celková částka přidělená v rámci programu na operace mimo programovou oblast nepřesáhne 15 % podpory z EFRR, Fondu soudržnosti a MFF na úrovni priority, nebo 5 % podpory z EZFRV na úrovni programu; </w:t>
      </w:r>
    </w:p>
    <w:p w14:paraId="4627B0F0" w14:textId="77777777" w:rsidR="00CF609A" w:rsidRPr="00710BD4" w:rsidRDefault="00CF609A" w:rsidP="00CF609A">
      <w:pPr>
        <w:pStyle w:val="CM4"/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10BD4">
        <w:rPr>
          <w:rFonts w:ascii="Arial" w:hAnsi="Arial" w:cs="Arial"/>
          <w:sz w:val="22"/>
          <w:szCs w:val="22"/>
        </w:rPr>
        <w:t>monitorovací výbor dal k dotyčné operaci nebo druhu operace souhlas.</w:t>
      </w:r>
    </w:p>
    <w:p w14:paraId="19B95DA4" w14:textId="77777777" w:rsidR="00710BD4" w:rsidRDefault="00710BD4" w:rsidP="00710BD4">
      <w:pPr>
        <w:spacing w:line="276" w:lineRule="auto"/>
        <w:jc w:val="both"/>
        <w:rPr>
          <w:rFonts w:ascii="Arial" w:hAnsi="Arial" w:cs="Arial"/>
        </w:rPr>
      </w:pPr>
    </w:p>
    <w:p w14:paraId="6D702C23" w14:textId="4AF9C9A8" w:rsidR="00CF609A" w:rsidRPr="00710BD4" w:rsidRDefault="00CF609A" w:rsidP="00710BD4">
      <w:pPr>
        <w:spacing w:line="276" w:lineRule="auto"/>
        <w:jc w:val="both"/>
        <w:rPr>
          <w:rFonts w:ascii="Arial" w:hAnsi="Arial" w:cs="Arial"/>
        </w:rPr>
      </w:pPr>
      <w:r w:rsidRPr="00710BD4">
        <w:rPr>
          <w:rFonts w:ascii="Arial" w:hAnsi="Arial" w:cs="Arial"/>
        </w:rPr>
        <w:t xml:space="preserve">V rámci výzvy Strategické řízení VaVaI na národní úrovni, se jedná o podporu systémových nástrojů, kdy budou podpořeny organizační složky státu. Programová oblast pro tuto výzvu je Méně rozvinuté regiony, je tedy nutné využít možnost danou </w:t>
      </w:r>
      <w:r w:rsidR="00710BD4">
        <w:rPr>
          <w:rFonts w:ascii="Arial" w:hAnsi="Arial" w:cs="Arial"/>
        </w:rPr>
        <w:t xml:space="preserve">čl. 70 </w:t>
      </w:r>
      <w:r w:rsidRPr="00710BD4">
        <w:rPr>
          <w:rFonts w:ascii="Arial" w:hAnsi="Arial" w:cs="Arial"/>
        </w:rPr>
        <w:t>Obecn</w:t>
      </w:r>
      <w:r w:rsidR="00710BD4">
        <w:rPr>
          <w:rFonts w:ascii="Arial" w:hAnsi="Arial" w:cs="Arial"/>
        </w:rPr>
        <w:t>ého</w:t>
      </w:r>
      <w:r w:rsidRPr="00710BD4">
        <w:rPr>
          <w:rFonts w:ascii="Arial" w:hAnsi="Arial" w:cs="Arial"/>
        </w:rPr>
        <w:t xml:space="preserve"> nařízení, aby byl</w:t>
      </w:r>
      <w:r w:rsidR="00710BD4">
        <w:rPr>
          <w:rFonts w:ascii="Arial" w:hAnsi="Arial" w:cs="Arial"/>
        </w:rPr>
        <w:t>a</w:t>
      </w:r>
      <w:r w:rsidRPr="00710BD4">
        <w:rPr>
          <w:rFonts w:ascii="Arial" w:hAnsi="Arial" w:cs="Arial"/>
        </w:rPr>
        <w:t xml:space="preserve"> </w:t>
      </w:r>
      <w:r w:rsidR="00710BD4">
        <w:rPr>
          <w:rFonts w:ascii="Arial" w:hAnsi="Arial" w:cs="Arial"/>
        </w:rPr>
        <w:t>umožněna</w:t>
      </w:r>
      <w:r w:rsidRPr="00710BD4">
        <w:rPr>
          <w:rFonts w:ascii="Arial" w:hAnsi="Arial" w:cs="Arial"/>
        </w:rPr>
        <w:t xml:space="preserve"> realiz</w:t>
      </w:r>
      <w:r w:rsidR="00710BD4">
        <w:rPr>
          <w:rFonts w:ascii="Arial" w:hAnsi="Arial" w:cs="Arial"/>
        </w:rPr>
        <w:t xml:space="preserve">ace </w:t>
      </w:r>
      <w:r w:rsidRPr="00710BD4">
        <w:rPr>
          <w:rFonts w:ascii="Arial" w:hAnsi="Arial" w:cs="Arial"/>
        </w:rPr>
        <w:t xml:space="preserve">na území celé ČR, tedy i na území hl. </w:t>
      </w:r>
      <w:r w:rsidR="00710BD4">
        <w:rPr>
          <w:rFonts w:ascii="Arial" w:hAnsi="Arial" w:cs="Arial"/>
        </w:rPr>
        <w:t>m</w:t>
      </w:r>
      <w:r w:rsidRPr="00710BD4">
        <w:rPr>
          <w:rFonts w:ascii="Arial" w:hAnsi="Arial" w:cs="Arial"/>
        </w:rPr>
        <w:t xml:space="preserve">. Prahy. </w:t>
      </w:r>
    </w:p>
    <w:p w14:paraId="35DE2EC7" w14:textId="77777777" w:rsidR="00CF609A" w:rsidRPr="00710BD4" w:rsidRDefault="00CF609A" w:rsidP="00CF609A">
      <w:pPr>
        <w:spacing w:line="276" w:lineRule="auto"/>
        <w:jc w:val="both"/>
        <w:rPr>
          <w:rFonts w:ascii="Arial" w:hAnsi="Arial" w:cs="Arial"/>
          <w:b/>
        </w:rPr>
      </w:pPr>
      <w:r w:rsidRPr="00710BD4">
        <w:rPr>
          <w:rFonts w:ascii="Arial" w:hAnsi="Arial" w:cs="Arial"/>
          <w:b/>
        </w:rPr>
        <w:t>Daný proxi ukazatel bude nastaven ve výzvě a bude aplikován na všechny projekty.</w:t>
      </w:r>
    </w:p>
    <w:p w14:paraId="27B54EE1" w14:textId="77777777" w:rsidR="00CF609A" w:rsidRPr="00710BD4" w:rsidRDefault="00CF609A" w:rsidP="00CF609A">
      <w:pPr>
        <w:spacing w:line="276" w:lineRule="auto"/>
        <w:jc w:val="both"/>
        <w:rPr>
          <w:rFonts w:ascii="Arial" w:eastAsia="Calibri" w:hAnsi="Arial" w:cs="Arial"/>
          <w:i/>
        </w:rPr>
      </w:pPr>
      <w:r w:rsidRPr="00710BD4">
        <w:rPr>
          <w:rFonts w:ascii="Arial" w:eastAsia="Calibri" w:hAnsi="Arial" w:cs="Arial"/>
          <w:i/>
        </w:rPr>
        <w:t>Výzva je vyhlašována v rámci prioritní osy 1: Posilování kapacit pro kvalitní výzkum, specifický cíl 4 Zlepšení strategického řízení výzkumu na národní úrovni</w:t>
      </w:r>
    </w:p>
    <w:p w14:paraId="719FC542" w14:textId="77777777" w:rsidR="00CF609A" w:rsidRPr="00710BD4" w:rsidRDefault="00CF609A" w:rsidP="00CF609A">
      <w:pPr>
        <w:spacing w:after="120" w:line="276" w:lineRule="auto"/>
        <w:jc w:val="both"/>
        <w:rPr>
          <w:rFonts w:ascii="Arial" w:eastAsia="Arial" w:hAnsi="Arial" w:cs="Arial"/>
        </w:rPr>
      </w:pPr>
      <w:r w:rsidRPr="00710BD4">
        <w:rPr>
          <w:rFonts w:ascii="Arial" w:eastAsia="Arial" w:hAnsi="Arial" w:cs="Arial"/>
        </w:rPr>
        <w:t>Aktivity v daném specifickém cíli jsou zaměřovány na systémové intervence, míří na území celé České republiky.</w:t>
      </w:r>
    </w:p>
    <w:p w14:paraId="195F65AC" w14:textId="77777777" w:rsidR="00CF609A" w:rsidRPr="00710BD4" w:rsidRDefault="00CF609A" w:rsidP="00CF609A">
      <w:pPr>
        <w:spacing w:after="120" w:line="276" w:lineRule="auto"/>
        <w:jc w:val="both"/>
        <w:rPr>
          <w:rFonts w:ascii="Arial" w:eastAsia="Arial" w:hAnsi="Arial" w:cs="Arial"/>
        </w:rPr>
      </w:pPr>
      <w:r w:rsidRPr="00710BD4">
        <w:rPr>
          <w:rFonts w:ascii="Arial" w:eastAsia="Arial" w:hAnsi="Arial" w:cs="Arial"/>
        </w:rPr>
        <w:t xml:space="preserve">Cílem této výzvy je zkvalitnit strategické řízení výzkumu, vývoje a inovací na národní úrovni. Strategické řízení bude posíleno zejména prostřednictvím podpory řízení Národní RIS3 strategie a souvisejícího Entrepreneurial discovery procesu a vytvořením systému centralizovaného zpřístupňování elektronických informačních zdrojů pro výzkum a vývoj. </w:t>
      </w:r>
    </w:p>
    <w:p w14:paraId="7BCC3226" w14:textId="77777777" w:rsidR="00CF609A" w:rsidRPr="00710BD4" w:rsidRDefault="00CF609A" w:rsidP="00CF609A">
      <w:pPr>
        <w:spacing w:before="240" w:after="0" w:line="276" w:lineRule="auto"/>
        <w:jc w:val="both"/>
        <w:rPr>
          <w:rFonts w:ascii="Arial" w:eastAsia="Arial" w:hAnsi="Arial" w:cs="Arial"/>
          <w:b/>
        </w:rPr>
      </w:pPr>
      <w:r w:rsidRPr="00710BD4">
        <w:rPr>
          <w:rFonts w:ascii="Arial" w:eastAsia="Arial" w:hAnsi="Arial" w:cs="Arial"/>
          <w:b/>
        </w:rPr>
        <w:t xml:space="preserve">Návrhy výpočtu pro-rata: </w:t>
      </w:r>
    </w:p>
    <w:p w14:paraId="63ACE49F" w14:textId="77777777" w:rsidR="00CF609A" w:rsidRPr="00710BD4" w:rsidRDefault="00CF609A" w:rsidP="00CF609A">
      <w:pPr>
        <w:numPr>
          <w:ilvl w:val="0"/>
          <w:numId w:val="7"/>
        </w:numPr>
        <w:spacing w:before="240" w:after="120" w:line="276" w:lineRule="auto"/>
        <w:ind w:left="357" w:hanging="357"/>
        <w:jc w:val="both"/>
        <w:rPr>
          <w:rFonts w:ascii="Arial" w:eastAsia="Arial" w:hAnsi="Arial" w:cs="Arial"/>
          <w:b/>
        </w:rPr>
      </w:pPr>
      <w:r w:rsidRPr="00710BD4">
        <w:rPr>
          <w:rFonts w:ascii="Arial" w:eastAsia="Arial" w:hAnsi="Arial" w:cs="Arial"/>
          <w:b/>
        </w:rPr>
        <w:t>Dopady výsledků uskutečňovaného výzkumu na kvalitu života obyvatel</w:t>
      </w:r>
    </w:p>
    <w:p w14:paraId="58A61A5C" w14:textId="77777777" w:rsidR="00710BD4" w:rsidRDefault="00CF609A" w:rsidP="00CF609A">
      <w:pPr>
        <w:spacing w:before="120" w:line="276" w:lineRule="auto"/>
        <w:contextualSpacing/>
        <w:jc w:val="both"/>
        <w:rPr>
          <w:rFonts w:ascii="Arial" w:eastAsia="Arial" w:hAnsi="Arial" w:cs="Arial"/>
        </w:rPr>
      </w:pPr>
      <w:r w:rsidRPr="00710BD4">
        <w:rPr>
          <w:rFonts w:ascii="Arial" w:eastAsia="Arial" w:hAnsi="Arial" w:cs="Arial"/>
          <w:b/>
          <w:i/>
        </w:rPr>
        <w:t>Výpočet podle poměru počtu obyvatel</w:t>
      </w:r>
      <w:r w:rsidRPr="00710BD4">
        <w:rPr>
          <w:rFonts w:ascii="Arial" w:eastAsia="Arial" w:hAnsi="Arial" w:cs="Arial"/>
        </w:rPr>
        <w:t xml:space="preserve"> Prahy a ostatních regionů. Dle dat ČSÚ (střední stav obyvatelstva v r. 2012) je podíl obyvatelstva Prahy na ČR 11,8 %, potenciální dopad mimo Prahu je tedy na 88,2 % obyvatel ČR. </w:t>
      </w:r>
    </w:p>
    <w:p w14:paraId="7ACB9BAC" w14:textId="774E1ED9" w:rsidR="00CF609A" w:rsidRPr="00710BD4" w:rsidRDefault="00CF609A" w:rsidP="00CF609A">
      <w:pPr>
        <w:spacing w:before="120" w:line="276" w:lineRule="auto"/>
        <w:contextualSpacing/>
        <w:jc w:val="both"/>
        <w:rPr>
          <w:rFonts w:ascii="Arial" w:eastAsia="Arial" w:hAnsi="Arial" w:cs="Arial"/>
        </w:rPr>
      </w:pPr>
      <w:r w:rsidRPr="00710BD4">
        <w:rPr>
          <w:rFonts w:ascii="Arial" w:eastAsia="Arial" w:hAnsi="Arial" w:cs="Arial"/>
        </w:rPr>
        <w:t>Odpovídající poměr Praha: ostatní kraje je 1 : 7,5.</w:t>
      </w:r>
    </w:p>
    <w:p w14:paraId="7020159C" w14:textId="77777777" w:rsidR="00CF609A" w:rsidRPr="00710BD4" w:rsidRDefault="00CF609A" w:rsidP="00CF609A">
      <w:pPr>
        <w:numPr>
          <w:ilvl w:val="0"/>
          <w:numId w:val="7"/>
        </w:numPr>
        <w:spacing w:before="360" w:after="0" w:line="276" w:lineRule="auto"/>
        <w:ind w:left="357" w:hanging="357"/>
        <w:jc w:val="both"/>
        <w:rPr>
          <w:rFonts w:ascii="Arial" w:eastAsia="Arial" w:hAnsi="Arial" w:cs="Arial"/>
          <w:b/>
        </w:rPr>
      </w:pPr>
      <w:r w:rsidRPr="00710BD4">
        <w:rPr>
          <w:rFonts w:ascii="Arial" w:eastAsia="Arial" w:hAnsi="Arial" w:cs="Arial"/>
          <w:b/>
        </w:rPr>
        <w:lastRenderedPageBreak/>
        <w:t>Alternativně dopady na sféru VaV v ČR – z hlediska možností využití výsledků výzkumu jinými výzkumnými subjekty</w:t>
      </w:r>
    </w:p>
    <w:p w14:paraId="19E9F2E4" w14:textId="77777777" w:rsidR="00CF609A" w:rsidRPr="00710BD4" w:rsidRDefault="00CF609A" w:rsidP="00CF609A">
      <w:pPr>
        <w:spacing w:before="120" w:line="276" w:lineRule="auto"/>
        <w:contextualSpacing/>
        <w:jc w:val="both"/>
        <w:rPr>
          <w:rFonts w:ascii="Arial" w:eastAsia="Arial" w:hAnsi="Arial" w:cs="Arial"/>
          <w:b/>
          <w:i/>
        </w:rPr>
      </w:pPr>
    </w:p>
    <w:p w14:paraId="3F17D9FD" w14:textId="57F411D2" w:rsidR="00CF609A" w:rsidRPr="00710BD4" w:rsidRDefault="00CF609A" w:rsidP="00CF609A">
      <w:pPr>
        <w:spacing w:before="120" w:line="276" w:lineRule="auto"/>
        <w:contextualSpacing/>
        <w:jc w:val="both"/>
        <w:rPr>
          <w:rFonts w:ascii="Arial" w:eastAsia="Arial" w:hAnsi="Arial" w:cs="Arial"/>
        </w:rPr>
      </w:pPr>
      <w:r w:rsidRPr="00710BD4">
        <w:rPr>
          <w:rFonts w:ascii="Arial" w:eastAsia="Arial" w:hAnsi="Arial" w:cs="Arial"/>
          <w:b/>
          <w:i/>
        </w:rPr>
        <w:t>Výpočet podle počtu výzkumníků (FTE)</w:t>
      </w:r>
      <w:r w:rsidRPr="00710BD4">
        <w:rPr>
          <w:rFonts w:ascii="Arial" w:eastAsia="Arial" w:hAnsi="Arial" w:cs="Arial"/>
        </w:rPr>
        <w:t xml:space="preserve"> v Praze a v ostatních krajích (ČSÚ, 2012). Podíl Prahy na ČR je 38,7 % (dopad mimo Prahu tedy 61,3 %) a poměr Praha: ostatní kraje 1</w:t>
      </w:r>
      <w:r w:rsidR="00353BF3">
        <w:rPr>
          <w:rFonts w:ascii="Arial" w:eastAsia="Arial" w:hAnsi="Arial" w:cs="Arial"/>
        </w:rPr>
        <w:t> </w:t>
      </w:r>
      <w:r w:rsidRPr="00710BD4">
        <w:rPr>
          <w:rFonts w:ascii="Arial" w:eastAsia="Arial" w:hAnsi="Arial" w:cs="Arial"/>
        </w:rPr>
        <w:t>:</w:t>
      </w:r>
      <w:r w:rsidR="00353BF3">
        <w:rPr>
          <w:rFonts w:ascii="Arial" w:eastAsia="Arial" w:hAnsi="Arial" w:cs="Arial"/>
        </w:rPr>
        <w:t> </w:t>
      </w:r>
      <w:r w:rsidRPr="00710BD4">
        <w:rPr>
          <w:rFonts w:ascii="Arial" w:eastAsia="Arial" w:hAnsi="Arial" w:cs="Arial"/>
        </w:rPr>
        <w:t xml:space="preserve">1,6. </w:t>
      </w:r>
      <w:r w:rsidRPr="00710BD4">
        <w:rPr>
          <w:rFonts w:ascii="Arial" w:eastAsia="Arial" w:hAnsi="Arial" w:cs="Arial"/>
        </w:rPr>
        <w:br/>
        <w:t>(V případě veřejného, tj. vládního + vysokoškolského sektoru je podíl Prahy 49,4</w:t>
      </w:r>
      <w:r w:rsidR="00353BF3">
        <w:rPr>
          <w:rFonts w:ascii="Arial" w:eastAsia="Arial" w:hAnsi="Arial" w:cs="Arial"/>
        </w:rPr>
        <w:t xml:space="preserve"> </w:t>
      </w:r>
      <w:r w:rsidRPr="00710BD4">
        <w:rPr>
          <w:rFonts w:ascii="Arial" w:eastAsia="Arial" w:hAnsi="Arial" w:cs="Arial"/>
        </w:rPr>
        <w:t xml:space="preserve">% a poměr </w:t>
      </w:r>
      <w:r w:rsidRPr="00710BD4">
        <w:rPr>
          <w:rFonts w:ascii="Arial" w:eastAsia="Arial" w:hAnsi="Arial" w:cs="Arial"/>
        </w:rPr>
        <w:br/>
        <w:t>1 : 1,02. U podnikatelského sektoru je podíl Prahy 26,2</w:t>
      </w:r>
      <w:r w:rsidR="00353BF3">
        <w:rPr>
          <w:rFonts w:ascii="Arial" w:eastAsia="Arial" w:hAnsi="Arial" w:cs="Arial"/>
        </w:rPr>
        <w:t xml:space="preserve"> </w:t>
      </w:r>
      <w:r w:rsidRPr="00710BD4">
        <w:rPr>
          <w:rFonts w:ascii="Arial" w:eastAsia="Arial" w:hAnsi="Arial" w:cs="Arial"/>
        </w:rPr>
        <w:t>% a poměr 1 : 2,8).</w:t>
      </w:r>
    </w:p>
    <w:p w14:paraId="11128B7D" w14:textId="77777777" w:rsidR="00CF609A" w:rsidRPr="00710BD4" w:rsidRDefault="00CF609A" w:rsidP="00CF609A">
      <w:pPr>
        <w:spacing w:before="120" w:line="276" w:lineRule="auto"/>
        <w:contextualSpacing/>
        <w:jc w:val="both"/>
        <w:rPr>
          <w:rFonts w:ascii="Arial" w:eastAsia="Arial" w:hAnsi="Arial" w:cs="Arial"/>
          <w:b/>
          <w:i/>
        </w:rPr>
      </w:pPr>
    </w:p>
    <w:p w14:paraId="0F7E0651" w14:textId="77777777" w:rsidR="00CF609A" w:rsidRPr="00710BD4" w:rsidRDefault="00CF609A" w:rsidP="00CF609A">
      <w:pPr>
        <w:spacing w:before="120" w:line="276" w:lineRule="auto"/>
        <w:contextualSpacing/>
        <w:jc w:val="both"/>
        <w:rPr>
          <w:rFonts w:ascii="Arial" w:eastAsia="Arial" w:hAnsi="Arial" w:cs="Arial"/>
        </w:rPr>
      </w:pPr>
      <w:r w:rsidRPr="00710BD4">
        <w:rPr>
          <w:rFonts w:ascii="Arial" w:eastAsia="Arial" w:hAnsi="Arial" w:cs="Arial"/>
          <w:b/>
          <w:i/>
        </w:rPr>
        <w:t>Alternativně výpočet podle výdajů na VaV</w:t>
      </w:r>
      <w:r w:rsidRPr="00710BD4">
        <w:rPr>
          <w:rFonts w:ascii="Arial" w:eastAsia="Arial" w:hAnsi="Arial" w:cs="Arial"/>
        </w:rPr>
        <w:t xml:space="preserve"> (ČSÚ, 2012). Celkové výdaje – podíl Prahy 35,0 %, poměr 1 : 1,9, veřejný sektor Praha 45,4 %, poměr 1 : 1,2, podnikatelský sektor Praha 26,0 %, poměr 1 : 2,8.</w:t>
      </w:r>
    </w:p>
    <w:p w14:paraId="70C504F9" w14:textId="77777777" w:rsidR="00CF609A" w:rsidRPr="00710BD4" w:rsidRDefault="00CF609A" w:rsidP="00CF609A">
      <w:pPr>
        <w:spacing w:line="276" w:lineRule="auto"/>
        <w:jc w:val="both"/>
        <w:rPr>
          <w:rFonts w:ascii="Arial" w:hAnsi="Arial" w:cs="Arial"/>
        </w:rPr>
      </w:pPr>
    </w:p>
    <w:p w14:paraId="515CC376" w14:textId="77777777" w:rsidR="00CF609A" w:rsidRPr="00710BD4" w:rsidRDefault="00CF609A" w:rsidP="00CF609A">
      <w:pPr>
        <w:spacing w:line="276" w:lineRule="auto"/>
        <w:jc w:val="both"/>
        <w:rPr>
          <w:rFonts w:ascii="Arial" w:eastAsia="Arial" w:hAnsi="Arial" w:cs="Arial"/>
        </w:rPr>
      </w:pPr>
      <w:r w:rsidRPr="00710BD4">
        <w:rPr>
          <w:rFonts w:ascii="Arial" w:hAnsi="Arial" w:cs="Arial"/>
        </w:rPr>
        <w:t xml:space="preserve">V průběhu přípravy OP VVV a procesu vyjednávání OP VVV s Evropskou komisí, se jako nejvhodnější pro rata pro tento typ operací jevila volba uživatelů výsledků dle počtu </w:t>
      </w:r>
      <w:r w:rsidRPr="00710BD4">
        <w:rPr>
          <w:rFonts w:ascii="Arial" w:eastAsia="Arial" w:hAnsi="Arial" w:cs="Arial"/>
          <w:b/>
          <w:i/>
        </w:rPr>
        <w:t>podle počtu výzkumníků (FTE)</w:t>
      </w:r>
      <w:r w:rsidRPr="00710BD4">
        <w:rPr>
          <w:rFonts w:ascii="Arial" w:eastAsia="Arial" w:hAnsi="Arial" w:cs="Arial"/>
        </w:rPr>
        <w:t xml:space="preserve"> v Praze a v ostatních krajích (ČSÚ, 2012). Podíl Prahy na ČR je 39 % (dopad mimo Prahu tedy 61 %).</w:t>
      </w:r>
    </w:p>
    <w:p w14:paraId="6EC35B35" w14:textId="77777777" w:rsidR="00CF609A" w:rsidRPr="00710BD4" w:rsidRDefault="00CF609A" w:rsidP="00CF609A">
      <w:pPr>
        <w:spacing w:line="276" w:lineRule="auto"/>
        <w:jc w:val="both"/>
        <w:rPr>
          <w:rFonts w:ascii="Arial" w:eastAsia="Arial" w:hAnsi="Arial" w:cs="Arial"/>
        </w:rPr>
      </w:pPr>
      <w:r w:rsidRPr="00710BD4">
        <w:rPr>
          <w:rFonts w:ascii="Arial" w:eastAsia="Arial" w:hAnsi="Arial" w:cs="Arial"/>
        </w:rPr>
        <w:t>Dané operace mají vliv na čerpání limitu 15 % dle č. 70 a do tohoto limitu se započítávají.</w:t>
      </w:r>
    </w:p>
    <w:p w14:paraId="7BAB1CAC" w14:textId="77777777" w:rsidR="002A6281" w:rsidRPr="00001FA8" w:rsidRDefault="002A6281">
      <w:pPr>
        <w:rPr>
          <w:rFonts w:ascii="Arial" w:hAnsi="Arial" w:cs="Arial"/>
        </w:rPr>
      </w:pPr>
    </w:p>
    <w:sectPr w:rsidR="002A6281" w:rsidRPr="00001F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2413" w14:textId="77777777" w:rsidR="00001FA8" w:rsidRDefault="00001FA8" w:rsidP="00001FA8">
      <w:pPr>
        <w:spacing w:after="0" w:line="240" w:lineRule="auto"/>
      </w:pPr>
      <w:r>
        <w:separator/>
      </w:r>
    </w:p>
  </w:endnote>
  <w:endnote w:type="continuationSeparator" w:id="0">
    <w:p w14:paraId="58AFFF64" w14:textId="77777777" w:rsidR="00001FA8" w:rsidRDefault="00001FA8" w:rsidP="000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F94C" w14:textId="4A603F47" w:rsidR="00CF609A" w:rsidRDefault="00CF609A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69685757" wp14:editId="5D3DDA3F">
          <wp:simplePos x="0" y="0"/>
          <wp:positionH relativeFrom="column">
            <wp:posOffset>647700</wp:posOffset>
          </wp:positionH>
          <wp:positionV relativeFrom="paragraph">
            <wp:posOffset>-398780</wp:posOffset>
          </wp:positionV>
          <wp:extent cx="4610100" cy="1028700"/>
          <wp:effectExtent l="0" t="0" r="0" b="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3ED8A" w14:textId="77777777" w:rsidR="00001FA8" w:rsidRDefault="00001FA8" w:rsidP="00001FA8">
      <w:pPr>
        <w:spacing w:after="0" w:line="240" w:lineRule="auto"/>
      </w:pPr>
      <w:r>
        <w:separator/>
      </w:r>
    </w:p>
  </w:footnote>
  <w:footnote w:type="continuationSeparator" w:id="0">
    <w:p w14:paraId="6945643C" w14:textId="77777777" w:rsidR="00001FA8" w:rsidRDefault="00001FA8" w:rsidP="000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7AA4" w14:textId="75F210C7" w:rsidR="00001FA8" w:rsidRDefault="00001FA8" w:rsidP="00001FA8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Times New Roman" w:eastAsia="Times New Roman" w:hAnsi="Times New Roman" w:cs="Times New Roman"/>
        <w:i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B1CB20" wp14:editId="634C0D33">
          <wp:simplePos x="0" y="0"/>
          <wp:positionH relativeFrom="page">
            <wp:posOffset>208280</wp:posOffset>
          </wp:positionH>
          <wp:positionV relativeFrom="topMargin">
            <wp:posOffset>66675</wp:posOffset>
          </wp:positionV>
          <wp:extent cx="7200265" cy="504190"/>
          <wp:effectExtent l="0" t="0" r="63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FD49F" w14:textId="77777777" w:rsidR="00001FA8" w:rsidRDefault="00001FA8" w:rsidP="00001FA8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Times New Roman" w:eastAsia="Times New Roman" w:hAnsi="Times New Roman" w:cs="Times New Roman"/>
        <w:i/>
        <w:sz w:val="24"/>
        <w:szCs w:val="24"/>
        <w:lang w:eastAsia="cs-CZ"/>
      </w:rPr>
    </w:pPr>
  </w:p>
  <w:p w14:paraId="681CB8F1" w14:textId="6DE4F57D" w:rsidR="00001FA8" w:rsidRDefault="00001FA8" w:rsidP="00001FA8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Arial" w:eastAsia="Times New Roman" w:hAnsi="Arial" w:cs="Arial"/>
        <w:lang w:eastAsia="cs-CZ"/>
      </w:rPr>
    </w:pPr>
    <w:r>
      <w:rPr>
        <w:rFonts w:ascii="Arial" w:eastAsia="Times New Roman" w:hAnsi="Arial" w:cs="Arial"/>
        <w:i/>
        <w:lang w:eastAsia="cs-CZ"/>
      </w:rPr>
      <w:t>Podkladový materiál pro jednání 5. MV OPVVV č. 2.</w:t>
    </w:r>
    <w:r w:rsidR="00CF609A">
      <w:rPr>
        <w:rFonts w:ascii="Arial" w:eastAsia="Times New Roman" w:hAnsi="Arial" w:cs="Arial"/>
        <w:i/>
        <w:lang w:eastAsia="cs-CZ"/>
      </w:rPr>
      <w:t>1</w:t>
    </w:r>
    <w:r>
      <w:rPr>
        <w:rFonts w:ascii="Arial" w:eastAsia="Times New Roman" w:hAnsi="Arial" w:cs="Arial"/>
        <w:i/>
        <w:lang w:eastAsia="cs-CZ"/>
      </w:rPr>
      <w:t>.</w:t>
    </w:r>
    <w:r w:rsidR="0008796B">
      <w:rPr>
        <w:rFonts w:ascii="Arial" w:eastAsia="Times New Roman" w:hAnsi="Arial" w:cs="Arial"/>
        <w:i/>
        <w:lang w:eastAsia="cs-CZ"/>
      </w:rPr>
      <w:t>5</w:t>
    </w:r>
  </w:p>
  <w:p w14:paraId="778FB3C3" w14:textId="77777777" w:rsidR="00001FA8" w:rsidRDefault="00001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0470"/>
    <w:multiLevelType w:val="hybridMultilevel"/>
    <w:tmpl w:val="FC945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848"/>
    <w:multiLevelType w:val="hybridMultilevel"/>
    <w:tmpl w:val="C77C7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5A5"/>
    <w:multiLevelType w:val="hybridMultilevel"/>
    <w:tmpl w:val="6448A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0CB3"/>
    <w:multiLevelType w:val="hybridMultilevel"/>
    <w:tmpl w:val="A4302EC6"/>
    <w:lvl w:ilvl="0" w:tplc="D668ED84">
      <w:start w:val="1"/>
      <w:numFmt w:val="decimal"/>
      <w:pStyle w:val="Odstavecseseznamem"/>
      <w:lvlText w:val="%1.1.1.1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F259FD"/>
    <w:multiLevelType w:val="hybridMultilevel"/>
    <w:tmpl w:val="B70CD30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8E1"/>
    <w:multiLevelType w:val="hybridMultilevel"/>
    <w:tmpl w:val="223E2872"/>
    <w:lvl w:ilvl="0" w:tplc="22F43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9C"/>
    <w:rsid w:val="00001FA8"/>
    <w:rsid w:val="00015F66"/>
    <w:rsid w:val="000571E2"/>
    <w:rsid w:val="0008796B"/>
    <w:rsid w:val="00153FE4"/>
    <w:rsid w:val="001A49DE"/>
    <w:rsid w:val="00281D3D"/>
    <w:rsid w:val="002A6281"/>
    <w:rsid w:val="002A6D43"/>
    <w:rsid w:val="00353BF3"/>
    <w:rsid w:val="003C0CC8"/>
    <w:rsid w:val="003D1200"/>
    <w:rsid w:val="00403F6D"/>
    <w:rsid w:val="004B31D5"/>
    <w:rsid w:val="00710BD4"/>
    <w:rsid w:val="008547F9"/>
    <w:rsid w:val="008D1EA5"/>
    <w:rsid w:val="00A4009A"/>
    <w:rsid w:val="00B56075"/>
    <w:rsid w:val="00B96E03"/>
    <w:rsid w:val="00C00A88"/>
    <w:rsid w:val="00CD74B2"/>
    <w:rsid w:val="00CF49BE"/>
    <w:rsid w:val="00CF609A"/>
    <w:rsid w:val="00D2299C"/>
    <w:rsid w:val="00D27C3C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B1CA5"/>
  <w15:docId w15:val="{768AFD23-3C01-4156-BC05-9A94183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99C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609A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"/>
    <w:basedOn w:val="Normln"/>
    <w:link w:val="OdstavecseseznamemChar"/>
    <w:uiPriority w:val="99"/>
    <w:qFormat/>
    <w:rsid w:val="00403F6D"/>
    <w:pPr>
      <w:numPr>
        <w:numId w:val="1"/>
      </w:numPr>
      <w:spacing w:after="120" w:line="240" w:lineRule="auto"/>
      <w:contextualSpacing/>
      <w:jc w:val="both"/>
    </w:pPr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1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1FA8"/>
  </w:style>
  <w:style w:type="paragraph" w:styleId="Zpat">
    <w:name w:val="footer"/>
    <w:basedOn w:val="Normln"/>
    <w:link w:val="ZpatChar"/>
    <w:uiPriority w:val="99"/>
    <w:unhideWhenUsed/>
    <w:rsid w:val="000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FA8"/>
  </w:style>
  <w:style w:type="character" w:customStyle="1" w:styleId="Nadpis2Char">
    <w:name w:val="Nadpis 2 Char"/>
    <w:basedOn w:val="Standardnpsmoodstavce"/>
    <w:link w:val="Nadpis2"/>
    <w:uiPriority w:val="9"/>
    <w:rsid w:val="00CF60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M4">
    <w:name w:val="CM4"/>
    <w:basedOn w:val="Normln"/>
    <w:next w:val="Normln"/>
    <w:uiPriority w:val="99"/>
    <w:rsid w:val="00CF609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OdstavecseseznamemChar">
    <w:name w:val="Odstavec se seznamem Char"/>
    <w:aliases w:val="nad 1 Char,Název grafu Char,Nad Char"/>
    <w:link w:val="Odstavecseseznamem"/>
    <w:uiPriority w:val="99"/>
    <w:locked/>
    <w:rsid w:val="00CF609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6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0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09A"/>
    <w:rPr>
      <w:sz w:val="20"/>
      <w:szCs w:val="20"/>
    </w:rPr>
  </w:style>
  <w:style w:type="paragraph" w:styleId="Normlnweb">
    <w:name w:val="Normal (Web)"/>
    <w:basedOn w:val="Normln"/>
    <w:uiPriority w:val="99"/>
    <w:rsid w:val="00C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15OPMSMT0001-28-23368</_dlc_DocId>
    <_dlc_DocIdUrl xmlns="0104a4cd-1400-468e-be1b-c7aad71d7d5a">
      <Url>http://op.msmt.cz/_layouts/15/DocIdRedir.aspx?ID=15OPMSMT0001-28-23368</Url>
      <Description>15OPMSMT0001-28-23368</Description>
    </_dlc_DocIdUrl>
  </documentManagement>
</p:properties>
</file>

<file path=customXml/itemProps1.xml><?xml version="1.0" encoding="utf-8"?>
<ds:datastoreItem xmlns:ds="http://schemas.openxmlformats.org/officeDocument/2006/customXml" ds:itemID="{B6D67A87-14E6-46DD-8135-1E5B8CB74EC5}"/>
</file>

<file path=customXml/itemProps2.xml><?xml version="1.0" encoding="utf-8"?>
<ds:datastoreItem xmlns:ds="http://schemas.openxmlformats.org/officeDocument/2006/customXml" ds:itemID="{F21B0B4F-C1F5-4504-A9C9-18EE50E03DD0}"/>
</file>

<file path=customXml/itemProps3.xml><?xml version="1.0" encoding="utf-8"?>
<ds:datastoreItem xmlns:ds="http://schemas.openxmlformats.org/officeDocument/2006/customXml" ds:itemID="{025FF89E-F363-4796-AFC1-EFF578F1C8F6}"/>
</file>

<file path=customXml/itemProps4.xml><?xml version="1.0" encoding="utf-8"?>
<ds:datastoreItem xmlns:ds="http://schemas.openxmlformats.org/officeDocument/2006/customXml" ds:itemID="{CCFB4A8A-8BC4-4FD4-9E71-886EF106F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Jenšíková Věra</cp:lastModifiedBy>
  <cp:revision>2</cp:revision>
  <dcterms:created xsi:type="dcterms:W3CDTF">2016-05-11T07:52:00Z</dcterms:created>
  <dcterms:modified xsi:type="dcterms:W3CDTF">2016-05-11T07:52:00Z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17ed7895-8d38-46a2-a4da-bc71f9cb3c0a</vt:lpwstr>
  </property>
  <property fmtid="{D5CDD505-2E9C-101B-9397-08002B2CF9AE}" pid="3" name="ContentTypeId">
    <vt:lpwstr>0x010100810CA98376D84445B27235C23C5DAEEA</vt:lpwstr>
  </property>
</Properties>
</file>